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TimesSquare Capital Management, LLC, a registered investment advisor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Subject to seeking best execution, the Board or the Adviser may direct the Sub-Adviser to effect transactions in portfolio securities through brokers and 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 xml:space="preserve">  4</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promptly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promptly notify the Trust and the Adviser if the Sub-Adviser determines to opt out of a class action litigation or otherwise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proposed update of such policies and procedures; and (ii) such other information as is necessary to assist the Adviser in complying with Rule 206(4)-6 under the Advisers Act.</w:t>
        <w:br/>
        <w:t xml:space="preserve">  6</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or any of its affiliated persons provides to any other investment company registered under the 1940 Act investment sub-advisory services using the investment strategies substantially similar to those provided by the Sub-Adviser to the Fund pursuant to this Agreement, (ii) the value of the assets under management with respect to which the Sub-Adviser provides such sub-advisory services to such other investment company is equal to or less than the value of the Fund Account, and (iii) the Sub-Adviser is compensated for providing such sub-advisory services at a rate less than the rate set forth on Schedule A, then the Sub-Adviser shall promptly notify the Adviser of the foregoing in reasonable detail and, as of the date of such notice, the rate set forth on Schedule A shall immediately and without requirement of further action (subject to any required approval or ratification by the Board) be deemed amended to reflect a rate equal to the lower rate at which the Sub-Adviser is compensated by such other investment company.</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 xml:space="preserve">  7</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 xml:space="preserve">  8</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w:t>
        <w:br/>
        <w:t xml:space="preserve">  9</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material changes in its insurance policies or insurance coverage; or (ii) if any claims in excess of twenty percent (20%) of the coverage amount will be made on one or more of its insurance policies.</w:t>
        <w:br/>
        <w:t xml:space="preserve">  10</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 xml:space="preserve">  11</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 xml:space="preserve">  12</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 xml:space="preserve">  13</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TimesSquare Capital Management, LLC</w:t>
        <w:br/>
        <w:t>0 Xxxxx Xxxxxx, 42nd Floor</w:t>
        <w:br/>
        <w:t>New York, New York 10036</w:t>
        <w:br/>
        <w:t>Attn: Xxx Xxxxxxx</w:t>
        <w:br/>
        <w:t>Email: xxx.xxxxxxx@xxxxxxx.xxx</w:t>
        <w:br/>
        <w:t>[rest of page left intentionally blank]</w:t>
        <w:br/>
        <w:t xml:space="preserve">  14</w:t>
        <w:br/>
        <w:t>IN WITNESS WHEREOF, the parties hereto have caused this instrument to be executed by their duly authorized signatories as of September 18, 2020.1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TIMESSQUARE CAPITAL MANAGEMENT, LLC</w:t>
        <w:br/>
        <w:t xml:space="preserve">By:    </w:t>
        <w:br/>
        <w:t>Name: Xxxxx X. Xxxxxxxxxx</w:t>
        <w:br/>
        <w:t>Title: Chief Operating Officer</w:t>
        <w:br/>
        <w:t xml:space="preserve">  1 </w:t>
        <w:br/>
        <w:t>Original Agreement dated July 31, 2002 and Amended and Rested as of September 13, 2005.</w:t>
        <w:br/>
        <w:t>Amended and Restated as of September 18, 2020.</w:t>
        <w:br/>
        <w:t xml:space="preserve">  15</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TIMESSQUARE CAPITAL MANAGEMENT, LLC, a registered investment adviser organized under the laws of the State of Delaware (“Sub-Adviser”).</w:t>
        <w:br/>
        <w:t>WHEREAS, Sub-Adviser provides investment management services to the Trust pursuant to the Sub-Advisory Agreement,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16</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TIMESSQUARE CAPITAL MANAGEMENT, LLC</w:t>
        <w:br/>
        <w:t xml:space="preserve">By:    </w:t>
        <w:br/>
        <w:t>Name:</w:t>
        <w:br/>
        <w:t>Title:</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