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LEGAL &amp; GENERAL INVESTMENT MANAGEMENT AMERICA, INC.,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to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the Sub-Adviser as a discretionary investment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All cash flow instructions by the Adviser to the Sub-Adviser, whether investment or disinvestment, shall be sent by an authorized signatory of the Adviser to the Sub-Adviser to the email account mutually agreed between the Adviser and Sub-Adviser, whereupon a member of the Sub-Adviser’s Client Service team shall acknowledge receipt, which shall serve as confirmation that the instruction has been received by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and the policies and procedures adopted by the Trust or the Adviser that are applicable to the Sub-Adviser listed on Schedule B, as such Schedule B may be amended from time to time,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including the policies and procedures applicable to the Sub-Adviser listed on Schedule B hereto.</w:t>
        <w:br/>
        <w:t>(b) The Sub-Adviser’s authority hereunder shall include the power to buy, sell, and hold such securities and other instruments, to open accounts and execute trading agreements and any other reasonable and customary documents and representation letters on behalf of the Fund Account as the Sub-Adviser deems appropriate within the parameters of Sections 3(a) and 4, and the conditions of this Agreement. The Sub-Adviser agrees that, prior to opening (or amending) any accounts, including futures accounts with brokerage firms or other financial institutions, the Sub-Adviser shall notify the Fund’s accounting agent and administrator (“Administrator”), custodian bank (“Custodian”), and the Adviser of the existence and any pertinent terms of the account opening documents, futures and other related agreements, as applicable.</w:t>
        <w:br/>
        <w:t>(c)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as soon as reasonably practicable after such changes have been received and acknowledged by the Sub-Adviser, which acknowledgement will occur within one business day.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 xml:space="preserve">  2</w:t>
        <w:br/>
        <w:t>(d)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best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directly or indirectly through a commission sharing arrangement,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(e)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upon request provide the Adviser with a written list of its affiliated persons, indicating which of those affiliated persons are brokers, dealers, futures commission merchants (“FCMs”), and/or banks, and will update such list from time to time, as necessary. To enable the Sub-Adviser to comply with this paragraph, the Adviser agrees that it will, upon request, provide the Sub-Adviser with a written list of the Trust’s affiliated persons (excluding the Fund’s sub-advisers) and principal underwriter, and their respective affiliated persons, and will update such list from time to time as necessary.</w:t>
        <w:br/>
        <w:t xml:space="preserve">  3</w:t>
        <w:br/>
        <w:t>(f)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(g)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Administrator with such periodic and special reports as any of them may reasonably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Notwithstanding the foregoing, the Sub-Adviser shall be able to retain copies of such records to the extent necessary to comply with the Sub-Adviser’s recordkeeping policies or regulatory obligations.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 xml:space="preserve">  4</w:t>
        <w:br/>
        <w:t>(h) All transactions for the Fund Account will be consummated by delivery of assets to or from the Custodian, or such depositories or agents as may be designated by the Custodian in writing, and neither the Sub-Adviser nor its affiliated persons shall have possession or custody of Fund assets at any time. The Sub-Adviser shall advise the Fund’s Custodian and Administrator on a prompt basis of each purchase and sale of a portfolio security or other financial instrument specifying the name of the issuer or Counterparty, the description, terms and amount of shares or principal amount of the security or other financial instrument purchased or sold, the market price, commission and gross or net price, trade date, settlement date and identity of the effecting broker or dealer and such other information as may reasonably be required. (“Counterparty” includes a clearing broker, dealer, foreign currency dealer or FCM.) The Sub-Adviser shall arrange for the transmission to the Fund’s Custodian and Administrator on a daily basis such confirmation, trade tickets, and other documents and information as may be reasonably necessary to enable the Custodian and Administrator to perform their administrative, recordkeeping and other responsibilities with respect to the Fund.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in accordance with the foregoing, the Sub-Adviser shall have no responsibility or liability with respect to custodial arrangements or the acts, omissions or other conduct of the Custodian, other than acts or omissions arising in reliance on instructions of the Sub-Adviser; provided, that it shall be the responsibility of the Sub-Adviser to notify the Adviser if the Custodian fails to confirm in writing proper execution of the instructions.</w:t>
        <w:br/>
        <w:t>(i) Without limiting the generality of the foregoing and in furtherance thereof, the Sub-Adviser shall report to the Fund’s Custodian and Administrator all trades and positions in the Fund Account daily (in such form and at such times as specified by the Fund’s Custodian and Administrator and/or the Adviser), including any trade it has entered into for which it has not received confirmation (and, with respect to transactions involving derivative instruments, shall also request each executing broker and Counterparty to deliver its own such transaction and position reporting), and any information related to any corporate action relevant to the investments of the Fund Account of which the Sub-Adviser has actual knowledge (in such form and at such times as specified by the Fund’s Custodian and Administrator). Unless otherwise specified by the Adviser, all trades shall be communicated by the Sub-Adviser to the Fund’s Custodian and Administrator by 10 a.m. Central Time on the business day following the trade date. The Sub-Adviser shall notify the Fund’s Custodian and Administrator immediately upon becoming aware of any trades not included in any previously transmitted trade communication.</w:t>
        <w:br/>
        <w:t>(j) The Sub-Adviser shall reconcile all trades and positions with each executing broker and Counterparty daily to ensure accurate trade settlement and verify open positions (including cash). The Sub-Adviser shall also reconcile daily all trades and positions (including cash) to the Fund’s official books and records, including without limitation, daily reconciliation of all open Custody positions (as defined below) (including cash) to the Custodian. The Sub-Adviser shall work with the Fund’s Custodian and Administrator and/or the Adviser, as appropriate, to resolve all open reconciliation items on the same day that they are identified, including trade and position discrepancies, identified in such reconciliations. For purposes of this Section 3(j), the term “Custody Positions” refers to all assets of the Fund, including cash, for which custody is maintained directly by the Fund’s Custodian.</w:t>
        <w:br/>
        <w:t xml:space="preserve">  5</w:t>
        <w:br/>
        <w:t>(k) The Sub-Adviser agrees to provide, at such times as shall be reasonably requested by the Board or the Adviser, the analysis and reports specified on Schedule C attached hereto, as such Schedule C may be amended from time to time,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(l) The Adviser hereby acknowledges that the Sub-Adviser is not responsible for pricing portfolio securities for purposes of calculating the Fund’s net asset value. Notwithstanding the foregoing, in accordance with procedures adopted by the Board, as amended from time to time, the Sub-Adviser will timely assist the Administrator and/or the Fund in determining the fair valuation of all portfolio securities held in the Fund Account and will use its reasonable efforts to arrange for the provision of valuation information, or one or more price(s), for each portfolio security held in the Fund Account for which the Administrator does not obtain prices in the ordinary course of business from an automated pricing service. The Sub-Adviser shall promptly notify the Adviser if, for any reason, the Sub-Adviser believes that the price of any security or other investment in the Fund Account may not accurately reflect the fair value thereof. The Sub-Adviser will maintain adequate records with respect to securities fair valuation information provided hereunder and shall provide such information to the Adviser upon request, with such records being deemed Fund records.</w:t>
        <w:br/>
        <w:t>(m) The Sub-Adviser shall provide reasonable assistance as reasonably requested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Registration Statements or portions thereof that relate to the Fund or the Sub-Adviser and other documents provided to the Sub-Adviser, provide comments on such drafts on a timely basis, and provide certifications or sub-certifications on a timely basis and in a form mutually agreeable to the parties. The Sub-Adviser’s (or its affiliate’s) Form 13F filed with the SEC shall include, to the extent applicable, the 13(f) securities held in the Fund Account.</w:t>
        <w:br/>
        <w:t>(n)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upon the reasonable request of the Trust and with reasonable prior notice: (i) provide periodic certifications relating to the Sub-Adviser’s provision of portfolio management services hereunder, including that: (A) the Sub-Adviser is in compliance with all applicable “Federal Securities Laws,” as defined in Rule 38a-l under the 1940 Act; (B) the Sub-Adviser’s policies and procedures are reasonably designed to prevent violation of the Federal Securities Laws by the Sub-Adviser and its supervised persons; and (C) the Sub-Adviser has reviewed, no less frequently than annually, the adequacy of its policies and procedures and the effectiveness of their implementation; and (ii) reasonably cooperate with third-party audits arranged by the Trust to evaluate the effectiveness of the Sub-Adviser’s compliance controls. Upon request and reasonable prior notice, the Trust’s chief compliance officer shall have direct access to the Sub-Adviser’s chief compliance officer and compliance personnel, and the Sub-Adviser shall provide the Trust’s chief compliance officer with periodic reports and special reports in the event of compliance problems.</w:t>
        <w:br/>
        <w:t xml:space="preserve">  6</w:t>
        <w:br/>
        <w:t>(o)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an Affiliated Person or Significant Third Party on behalf of the Sub-Adviser in assisting the Sub-Adviser under the Agreement to the same extent as if the Sub-Adviser had taken such action directly. All fees and/or other compensation payable to such an Affiliated Person or Significant Third Party shall be the sole responsibility of the Sub-Adviser and neither the Fund nor the Adviser shall have any obligation to pay any fee or compensation to such person. To the extent the Sub-Adviser utilizes the services of an Affiliated Person to provide, or assist in providing, discretionary investment advisory services under this Section 3(o), it will provide the Adviser and the Fund with 30 days’ prior written notice, which will include the identity of the affiliated person and such other information reasonably requested by the Adviser or the Fund. “Significant Third Parties” means those third parties appointed by the Sub-Adviser to perform services which do not themselves form part of investment management services, but which are both materially and exclusively integrated with the provision of and significant to the Sub-Adviser’s ability to provide investment management services under this Agreement. For the avoidance of doubt this excludes any brokers, counterparties, the Custodian and parties providing data services. As at the date of this Agreement, the sole Significant Third Party is State Street, and the Sub-Adviser will notify the Adviser in writing when a new Significant Third Party is appointed. For the avoidance of doubt, the Sub-Adviser’s Affiliated Persons who may be delegated services include LGIM International Limited, Legal &amp; General Investment Management Limited, and Legal &amp; General Investment Management Holdings Limited, all of which are U.K. domiciled companies; Legal &amp; General Investment Management Asia Limited, which is a Hong Kong domiciled company; and Legal &amp; General Investment Management Japan KK, which is a company domiciled in Japan. Notwithstanding Section 14, the Sub-Adviser may provide information about the Adviser, the Trust and the Fund to delegates as reasonably necessary for them to perform the delegated services.</w:t>
        <w:br/>
        <w:t>(p) The Sub-Adviser will not be responsible for making any class action filings, including bankruptcies, on behalf of the Fund Account. The Sub-Adviser shall make reasonable efforts to provide the Trust and the Adviser with any proof of claim it receives regarding class action claims or any other actions or proceedings in which the Fund may be entitled to participate involving any asset held in the Fund Account and shall cooperate with the Trust and the Adviser to the extent reasonably necessary for the Trust or the Adviser to pursue and/or participate in any such action. If the Trust or the Adviser identifies a security held or previously held by the Fund Account to the Sub-Adviser, the Sub-Adviser shall, to the extent commercially reasonable and legally permissible, inform the Trust and the Adviser if the Sub-Adviser has determined to participate or opt out of a class action litigation or otherwise commence an independent litigation (domestic or foreign) related to that security.</w:t>
        <w:br/>
        <w:t xml:space="preserve">  7</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applicable requirements of: (i) the 1940 Act and Advisers Act and the rules and regulations adopted under each; (ii)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5. Proxies. Unless the Adviser gives written instructions to the contrary, provided the Custodian has timely forwarded the relevant proxy materials, the Sub-Adviser shall, in accordance with its proxy voting policies and procedures,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If and when applicable, the Sub-Adviser will, upon request,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reasonably practicable: (i) any material update of such policies and procedures; and (ii) such other information that the Sub-Adviser maintains in the ordinary course of business as is necessary to assist the Adviser in complying with Rule 206(4)-6 under the Advisers Act.</w:t>
        <w:br/>
        <w:t>6. Expenses. During the term of this Agreement, the Sub-Adviser will bear all expenses incurred by it in connection with its services under this Agreement other than the cost of securities (including brokerage commissions, transactional fees and taxes, if any) purchased or sold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If, at any time: (i) the Sub-Adviser provides to any other investment company registered under the 1940 Act investment advisory services using the same investment benchmarks and similar requirements to apply security specific restrictions to those provided by the Sub-Adviser to the Fund pursuant to this Agreement, (ii) the value of the assets under management with respect to which the Sub-Adviser provides such services to such other investment company is equal to or less than the value of the Fund Account, and (iii) the Sub-Adviser is compensated for providing such services at a rate less than the rate set forth on Schedule A, then the Sub-Adviser shall promptly notify the Adviser of the foregoing in reasonable detail and, as of the date of such notice, the rate set forth on Schedule A shall immediately and without requirement of further action (subject to any required approval or ratification by the Board) be deemed amended to reflect a rate equal to the lower rate at which the Sub-Adviser is compensated by such other investment company.</w:t>
        <w:br/>
        <w:t xml:space="preserve">  8</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in the performance of its duties, or its reckless disregard of its obligations and duties under this Agreement.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claims, damages, liabilities and costs (including reasonable legal and other expenses) (“Losses”) incurred by the Sub-Adviser by reason of or arising out of any act or omission by the Adviser under this Agreement, if such act or omission involves the 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(b) The Trust shall indemnify the Sub-Adviser and any of its directors, officers, employees and affiliates for all Losses incurred by the Sub-Adviser by reason of or arising out of any act or omission by the Trust under this Agreement, if such act or omission involves the Trust’s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(c) The Sub-Adviser shall indemnify the Adviser and any of its directors, officers, employees and affiliates for all Losses incurred by the Adviser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Adviser’s willful misfeasance, bad faith, or gross negligence in the performance of its duties, or its reckless disregard of its obligations and duties under this Agreement.</w:t>
        <w:br/>
        <w:t xml:space="preserve">  9</w:t>
        <w:br/>
        <w:t>(d) The Sub-Adviser shall indemnify the Trust and any of its trustees, officers, employees and affiliates for all Losses incurred by the Trust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Trust’s willful misfeasance, bad faith, or gross negligence in the performance of its duties, or its reckless disregard of its obligations and duties under this Agreement.</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(e) The Trust will promptly notify the Sub-Adviser if any representation it has made under this Agreement becomes materially untrue.</w:t>
        <w:br/>
        <w:t>11. Representations of the Adviser. The Adviser represents, warrants and agrees that:</w:t>
        <w:br/>
        <w:t>(a) The Adviser has been duly authorized by the Board to delegate to the Sub-Adviser the provision of investment services to the Fund Account as contemplated hereby.</w:t>
        <w:br/>
        <w:t xml:space="preserve">  10</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agency or industry self-regulatory organization necessary to be met in order to perform the services contemplated by this Agreement; (iv) has the authority to enter into and perform the services contemplated by this Agreement; (v) will promptly notify the Sub-Adviser of the occurrence of any event that would disqualify the Adviser from serving as an investment adviser of an investment company pursuant to Section 9(a) of the 1940 Act or otherwise; and (vi) will promptly notify the Sub-Adviser if any representation it has made under this Agreement becomes materially untrue.</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any representation under this Agreement becomes materially untrue or the occurrence of any event that the Sub-Adviser reasonably determines could have a materially adverse impact on the Sub-Adviser’s ability to provide services under this Agreement, or would disqualify the Sub-Adviser from serving as an investment adviser of an investment company pursuant to Section 9(a) of the 1940 Act or otherwise. To the extent permitted by law, the Sub-Adviser will also promptly notify the Trust and the Adviser if it is served or otherwise receives notice of any material action, suit, proceeding, inquiry or investigation, at law or in equity, or any threat thereof, before or by any court, public board or body, directly involving the affairs of the Fund. The Sub-Adviser further agrees to, upon request, review any statement regarding the Sub-Adviser contained in the Registration Statement with respect to the Fund and notify the Adviser or the Trust promptly if it becomes aware that any statement regarding the Sub-Adviser contained in the Registration Statement with respect to the Fund, or any amendment or supplement thereto, becomes untrue or incomplete in any material respect.</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the Compliance Procedures and any amendments thereto. The Sub-Adviser will notify the Adviser promptly of any “Material Compliance Matter” (as defined in Rule 38a-1 under the 1940 Act). The Sub-Adviser will also notify the Adviser of any remedial actions that it takes in response to deficiency letters or similar communications from the SEC or another regulator.</w:t>
        <w:br/>
        <w:t xml:space="preserve">  11</w:t>
        <w:br/>
        <w:t>(c) The Sub-Adviser has adopted a written code of ethics as required by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Upon request, and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and the Adviser in writing any material amendments to its code of ethics; (iv) promptly furnish all pertinent information regarding any material violation of the Sub-Adviser’s code of ethics by: (A) its directors, officers and partners; or (B) any person who has access to nonpublic information regarding: (I) the Fund’s purchase or sale of securities; (II) the portfolio holdings of the Fund; or (III) securities recommendations to the Fund;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w:t>
        <w:br/>
        <w:t>(e) The Sub-Adviser will notify the Trust and the Adviser of any change of control of the Sub-Adviser, including any change of its general partner(s) or managing member,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as soon as reasonably practicable after such change. The Sub-Adviser agrees that it may bear all reasonable expenses of the Trust and Adviser, if any, arising out of the Sub-Adviser’s failure to notify the Trust and the Adviser as set forth herein.</w:t>
        <w:br/>
        <w:t>(f) The Sub-Adviser agrees to maintain an appropriate level of errors and omissions or professional liability insurance coverage from insurance providers that are in the business of regularly providing insurance coverage to investment advisers. In no event shall such coverage be less than $5,000,000. The Sub-Adviser shall upon request endeavor to provide to the Adviser any information it may reasonably require concerning the amount or scope of such insurance.</w:t>
        <w:br/>
        <w:t>(g) The Sub-Adviser will not, in violation of applicable law or regulation, use any material non-public information concerning portfolio companies that it is aware of and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with such right terminating upon termination of this Agreement, and the Sub-Adviser may use the performance of the Fund Account in its composite performance.</w:t>
        <w:br/>
        <w:t xml:space="preserve">  12</w:t>
        <w:br/>
        <w:t>(i) The Sub-Adviser agrees to promptly notify the Adviser of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and the Adviser with a copy of its most recent CFTC disclosure document or a written explanation of the reason why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the Sub-Adviser determines has had a material impact on its operations and that requires the Sub-Adviser to implement any procedures under such plan.</w:t>
        <w:br/>
        <w:t>(l) The Sub-Adviser has administrative, technical and physical safeguards in place that comply with all laws and regulations applicable to the Sub-Adviser and, in the event the Sub-Adviser becomes aware of any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promptly take appropriate steps to contain or mitigate the Cybersecurity Breach, and will, without unreasonable delay, notify the Adviser and the Fund, unless such notification is prohibited by law enforcement or the Sub-Adviser’s regulator(s).</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such information. The provisions of this Section 14 shall survive any termination of this Agreement.</w:t>
        <w:br/>
        <w:t xml:space="preserve">  13</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(as defined in the 1940 Act)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 xml:space="preserve">  14</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The Adviser will provide copies of such items to the Sub-Adviser upon request within a reasonable time following such use, publication or distribution.</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 xml:space="preserve">  15</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w:t>
        <w:br/>
        <w:t>Email: xxxxxxx.xxxxxxxx@xxxxxxxxxx.xxx</w:t>
        <w:br/>
        <w:t>All notices provided to the Sub-Adviser will be sent:</w:t>
        <w:br/>
        <w:t>Legal &amp; General Investment Management America, Inc.</w:t>
        <w:br/>
        <w:t>00 Xxxxx Xxxxxx Xxxxx, Xxxxx 000</w:t>
        <w:br/>
        <w:t>Chicago, Illinois 60606</w:t>
        <w:br/>
        <w:t>Attn: Xxxxx Xxxxx, Client Strategist</w:t>
        <w:br/>
        <w:t>Email: xxxxx.xxxxx@xxxxx.xxx, with a copy to: xxxxxXXXXX@xxxxx.xxx</w:t>
        <w:br/>
        <w:t>[rest of page left intentionally blank]</w:t>
        <w:br/>
        <w:t xml:space="preserve">  16</w:t>
        <w:br/>
        <w:t>IN WITNESS WHEREOF, the parties hereto have caused this instrument to be executed by their duly authorized signatories as of August 31, 2022.1</w:t>
        <w:br/>
        <w:t xml:space="preserve">  GUIDESTONE FUNDS,</w:t>
        <w:br/>
        <w:t>on behalf of the series of the Trust listed on Schedule A</w:t>
        <w:br/>
        <w:t xml:space="preserve">By:  </w:t>
        <w:br/>
        <w:t xml:space="preserve">  Name:   Xxxx X. Xxxxx</w:t>
        <w:br/>
        <w:t>Title:   President</w:t>
        <w:br/>
        <w:t>GUIDESTONE CAPITAL MANAGEMENT, LLC</w:t>
        <w:br/>
        <w:t xml:space="preserve">By:  </w:t>
        <w:br/>
        <w:t xml:space="preserve">  Name:   Xxxxx X. Xxxxx</w:t>
        <w:br/>
        <w:t>Title:   President</w:t>
        <w:br/>
        <w:t>LEGAL &amp; GENERAL INVESTMENT MANAGEMENT AMERICA, INC.</w:t>
        <w:br/>
        <w:t xml:space="preserve">By:  </w:t>
        <w:br/>
        <w:t xml:space="preserve">  Name:  </w:t>
        <w:br/>
        <w:t xml:space="preserve">  Title:  </w:t>
        <w:br/>
        <w:t xml:space="preserve">    1 </w:t>
        <w:br/>
        <w:t>Original Agreement dated June 16, 2016.</w:t>
        <w:br/>
        <w:t>Amended and Restated as of September 18, 2020.</w:t>
        <w:br/>
        <w:t>Amended and Restated as of August 31, 2022.</w:t>
        <w:br/>
        <w:t xml:space="preserve">  17</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LEGAL &amp; GENERAL INVESTMENT MANAGEMENT AMERICA, INC., a registered investment adviser organized under the laws of the State of Delaware (“Sub-Adviser”).</w:t>
        <w:br/>
        <w:t>WHEREAS, Sub-Adviser provides investment management services to the Trust pursuant to the Sub-Advisory Agreement, amended and restated as of August 31, 2022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“Proxy Voting Policies and Procedures” from the list of policies and procedures applicable to the Sub-Adviser.</w:t>
        <w:br/>
        <w:t xml:space="preserve">    (c)</w:t>
        <w:br/>
        <w:t>Schedule C is hereby amended to delete “Current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this Amendment shall be incorporated into the Agreement, and each reference to the Agreement in the Agreement and all schedules thereto shall mean and be a reference to the Agreement as amended by this Amendment.</w:t>
        <w:br/>
        <w:t xml:space="preserve">  18</w:t>
        <w:br/>
        <w:t>PURSUANT TO AN EXEMPTION FROM THE COMMODITY FUTURES TRADING COMMISSION (“CFTC”) IN CONNECTION WITH ACCOUNTS OF QUALIFIED ELIGIBLE PERSONS, THIS BROCHURE OR ACCOUNT DOCUMENT IS NOT REQUIRED TO BE, AND HAS NOT BEEN, FILED WITH THE CFTC. THE CFTC DOES NOT PASS UPON THE MERITS OF PARTICIPATING IN A TRADING PROGRAM OR UPON THE ADEQUACY OR ACCURACY OF COMMODITY TRADING ADVISOR DISCLOSURE. CONSEQUENTLY, THE CFTC HAS NOT REVIEWED OR APPROVED THIS TRADING PROGRAM OR THIS BROCHURE OR ACCOUNT DOCUMENT.</w:t>
        <w:br/>
        <w:t>IN WITNESS WHEREOF, the parties hereto have caused this Amendment to be executed by a duly authorized officer on one or more counterparts as of the date and year written above.</w:t>
        <w:br/>
        <w:t xml:space="preserve">  GUIDESTONE FUNDS</w:t>
        <w:br/>
        <w:t xml:space="preserve">By:  </w:t>
        <w:br/>
        <w:t xml:space="preserve">  Name:   Xxxxx X. Xxxxx</w:t>
        <w:br/>
        <w:t>Title:   President</w:t>
        <w:br/>
        <w:t>GUIDESTONE CAPITAL MANAGEMENT, LLC</w:t>
        <w:br/>
        <w:t xml:space="preserve">By:  </w:t>
        <w:br/>
        <w:t xml:space="preserve">  Name:   Xxxxxxx Xxxxxxxx</w:t>
        <w:br/>
        <w:t>Title:   Vice President – Investment Officer</w:t>
        <w:br/>
        <w:t>LEGAL &amp; GENERAL INVESTMENT MANAGEMENT AMERICA, INC.</w:t>
        <w:br/>
        <w:t xml:space="preserve">By:  </w:t>
        <w:br/>
        <w:t xml:space="preserve">  Name:  </w:t>
        <w:br/>
        <w:t xml:space="preserve">Title:  </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