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XXXXXX XXXX EQUITY MANAGEMENT, INC., a registered investment adviser organized under the laws of the State of New Jersey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investment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which the Adviser shall provide to the Sub-Adviser in writing.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once they have been received by the Sub-Adviser. Unless instructed by the Adviser to the contrary, the Sub-Adviser will have a reasonable amount of time to divest of any existing portfolio holdings in any new prohibited company or come into compliance with any other restriction related thereto.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the best net result in terms of price and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its other clients and that the total commissions paid by the Fund will be reasonable in relation to the benefits to the Fund over the long term. Subject to seeking best execution, the Board or the Adviser may direct the Sub-Adviser to effect transactions in portfolio securities through brokers and dealers in a manner that will help generate resources to pay the costs of certain expenses that the Trust is required to pay or for which the Trust is required to arrange payment.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accounts advised by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provide the Adviser with a written list of its affiliated persons which are brokers, dealers, futures commission merchants, and/or banks, and will update such list from time to time, as necessary. The Adviser and the Trust agree that they will provide the Sub-Adviser with a written list of their affiliated persons which are brokers, dealers, futures commission merchants, and/or banks, and will update such list from time to time, as necessary.</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require the Sub-Adviser to provide specific recommendations regarding the purchase or sale of securities or concern transactions prohibited by Section 17(a) of the 1940 Act.</w:t>
        <w:br/>
        <w:t xml:space="preserve">  3</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the Sub-Adviser shall have no responsibility or liability with respect to custodial arrangements or the acts, omissions or other conduct of the Custodian, other than acts or omissions arising in reliance on instructions of the Sub-Adviser given within the scope of its duties hereunder to the Custodian; provided, that it shall be the responsibility of the Sub-Adviser to notify the Adviser if the Custodian fails to confirm in writing proper execution of such instructions.</w:t>
        <w:br/>
        <w:t xml:space="preserve">  4</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(i)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 The Sub-Adviser shall promptly notify the Adviser if, for any reason, the Sub-Adviser believes that the price of any security or other investment in the Fund Account may not accurately reflect the fair value thereof. The Sub-Adviser will maintain adequate records with respect to securities fair valuation information provided hereunder, and shall provide such information to the Adviser upon request, with such records being deemed Fund records.</w:t>
        <w:br/>
        <w:t>(j) The Sub-Adviser shall provide reasonable assistance to provide information within its possession and control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Account or the Sub-Adviser and other documents provided to the Sub-Adviser that relate to the Fund Account or the Sub-Adviser, provide comments on such drafts on a timely basis, and provide certifications or sub-certifications on a timely basis as to the accuracy of the Sub-Adviser’s information contained in such reports or other documents. The Sub-Adviser’s (or its affiliate’s) Form 13F file with the SEC shall include, to the extent applicable, the 13(f) securities held in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(i)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(ii) upon request and reasonable prior notice, cooperate with third-party audits arranged by the Trust to evaluate the effectiveness of the Trust’s compliance controls by providing information that will reasonably assist the third party to assess the effectiveness of the Sub-Adviser’s controls; (iii) upon request and reasonable prior notice, provide the Trust’s chief compliance officer with direct access to Sub-Adviser’s chief compliance officer (or his/her designee); and (iv) upon request, provide the Trust’s chief compliance officer with periodic reports in the form and substance agreed to by the parties.</w:t>
        <w:br/>
        <w:t xml:space="preserve">  5</w:t>
        <w:br/>
        <w:t>(l)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(m) The Sub-Adviser will not be responsible for making any class action filings, including bankruptcies, on behalf of the Fund Account. The Sub-Adviser shall promptly provide the Trust and the Adviser with any notice addressed to the Trust or the Fund that it receives regarding class action claims or any other legal matters involving any asset held in the Fund Account and shall reasonably cooperate with the Trust and the Adviser to provide information within its possession and control necessary for the Trust or the Adviser to pursue and/or participate in any such action.</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requirements of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 as soon as practicable after such materials become available.</w:t>
        <w:br/>
        <w:t>5. Proxies. Unless the Adviser gives written instructions to the contrary,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practicable: (i) any update of such policies and procedures; and (ii) such other information as is necessary to assist the Adviser in complying with Rule 206(4)-6 under the Advisers Act.</w:t>
        <w:br/>
        <w:t xml:space="preserve">  6</w:t>
        <w:br/>
        <w:t>6. Expenses. During the term of this Agreement, the Sub-Adviser will bear all expenses incurred by it in connection with its services under this Agreement other than the cost of securities purchased for the Fund Account and any expenses attributable to the positions in the Fund Account and the purchase or sale of any security for the Fund Account (including, without limitation, brokerage commissions, transactional fees and taxes, if any). The Trust and the Fund shall be responsible for all of their respective expenses, including without limitation custodial and administrator fees.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Adviser, the Fund or the Trust.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w:t>
        <w:br/>
        <w:t>8. Limitation of Liability. The Sub-Adviser shall not be liable for any loss due solely to a mistake of investment judgment, but the Sub-Adviser shall be liable for any loss which is incurred by reason of an act or omission of its employee, partner,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litigation (including reasonable legal and other expenses) (“Losses”) incurred by the Sub-Adviser by reason of or arising out of any act or omission by the Adviser under this Agreement, if such act or omission involves the gross negligence, willful misfeasance, bad faith or breach of fiduciary duty of the Adviser, or any breach of warranty, representation or agreement hereunder, except to the extent that such Losses arise as a result of the gross negligence, willful misfeasance or bad faith of the Sub-Adviser or the Sub-Adviser’s breach of duty or obligations hereunder.</w:t>
        <w:br/>
        <w:t xml:space="preserve">  7</w:t>
        <w:br/>
        <w:t>(b) The Trust shall indemnify the Sub-Adviser and any of its directors, officers, employees and affiliates for all Losses incurred by the Sub-Adviser by reason of or arising out of any act or omission by the Trust under this Agreement, if such act or omission involves the gross negligence, willful misfeasance, bad faith or breach of fiduciary duty of the Trust, or any breach of warranty, representation or agreement hereunder, except to the extent that such Losses arise as a result of the gross negligence, willful misfeasance or bad faith of the Sub-Adviser or the Sub-Adviser’s breach of duty or obligations hereunder.</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duty or obligations hereunder.</w:t>
        <w:br/>
        <w:t>(d) The Sub-Adviser shall indemnify the Trust and any of its trustees, officers, employees and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breach of duty or obligations hereunder.</w:t>
        <w:br/>
        <w:t>(e) The indemnification in this Section 9 shall survive the termination of this Agreement with respect to any Losses arising prior to termination.</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 xml:space="preserve">  8</w:t>
        <w:br/>
        <w:t>(d) The Adviser and the Sub-Adviser each has been duly appointed by the Board to provide investment services to the Fund Account as contemplated hereby.</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contract,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an investment adviser of an investment company pursuant to Section 9(a) of the 1940 Act or otherwise.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breach of this Agreement, if any representation under this Agreement becomes untrue (in each case, to the extent the Sub-Adviser is aware) or the occurrence of any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The Sub-Adviser will also immediately notify the Trust and the Adviser, to the extent permitted by law if it is served or otherwise receives notice of any action, suit, proceeding, inquiry or investigation, at law or in equity, or any threat thereof, before or by any court, public board or body, directly involving the affairs of the Fund. The Sub-Adviser further agrees to notify the Adviser or the Trust promptly if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material amendments thereto. The Sub-Adviser will notify the Adviser promptly of any “Material Compliance Matters” (as defined in Rule 38a-1 under the 1940 Act).</w:t>
        <w:br/>
        <w:t xml:space="preserve">  9</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immediately furnish to the Board all information regarding any material violation of the code of ethics by any person who would be considered an “Access Person” under the Trust’s and Adviser’s code of ethics, if such person were not subject to the Sub-Adviser’s code of ethics;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 (with names and other personally identifiable information redacted).</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instructions to Form ADV.</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set forth on Schedule A of Part 1 of its Form ADV, of the Sub-Adviser, in each case prior to such change if practicable but in any event not later than promptly after such change. The Sub-Adviser agrees to bear all reasonable expenses of the Trust and Adviser, if any, arising out of any such change that triggers the need, by itself, to prepare a proxy statement or make an SEC filing.</w:t>
        <w:br/>
        <w:t>(f) The Sub-Adviser agrees to maintain an appropriate level of errors and omissions or professional liability insurance coverage in an amount agreed upon from time to time by the Adviser and Sub-Adviser from insurance providers that are in the business of regularly providing insurance coverage to investment advisers. In no event shall such coverage be less than $5,000,000. The Sub-Adviser shall upon request provide to the Adviser any information it may reasonably require concerning the amount or scope of such insurance. The Sub-Adviser shall provide written notice to the Adviser: (i) of any material changes in its insurance policies or insurance coverage; or (ii) if any claims in excess of twenty percent (20%) of the coverage amount will be made on one or more of its insurance policies.</w:t>
        <w:br/>
        <w:t xml:space="preserve">  10</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Notwithstanding the foregoing, the Sub-Adviser may identify itself as a sub-adviser of the Fund and name Adviser on its client list and in one-on-one communications with prospective and existing clients during the term of this Agreement, which such right terminating upon termination of this Agreement, and the Sub-Adviser may use the performance and portfolio characteristics of the Fund Account in its composite performance and representative account presentations (if applicable).</w:t>
        <w:br/>
        <w:t>(i) The Sub-Adviser agrees to notify the Adviser, as soon as practicable, of errors, including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material event requiring the Sub-Adviser to implement a full disaster recovery plan.</w:t>
        <w:br/>
        <w:t>(l) The Sub-Adviser has administrative, technical and physical safeguards in place that comply with all laws and regulations applicable to the Sub-Adviser and meet or exceed the information security standards and practices that are commonly utilized by similarly sized managers in the asset management industry that provide the same scope of services and, in the event the Sub-Adviser becomes aware of any actual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immediately take appropriate steps to contain or mitigate the Cybersecurity Breach, and notify the Adviser and the Fund.</w:t>
        <w:br/>
        <w:t xml:space="preserve">  11</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Sub-Adviser Information.</w:t>
        <w:br/>
        <w:t>(a) Subject to the duty of the Sub-Adviser, the Adviser and the Trust to comply with: (i) applicable law, rule or regulation, or a court order; or (ii) any demand of any government, regulatory or taxing authority having jurisdiction, or any self-regulatory organization, and except as set forth herein, the parties hereto shall treat as confidential all material non-public information pertaining to the Fund Account and the actions of the Sub-Adviser, the Adviser and the Trust in respect thereof. The provisions of this Section 14 shall survive any termination of this Agreement.</w:t>
        <w:br/>
        <w:t>(b) The Adviser and the Trust understand that the Sub-Adviser is a quantitative investment manager that has developed proprietary systems, methods and processes. The Sub-Adviser considers the following information to be the Sub-Adviser’s proprietary information: its investment strategy positions and transactions, and any and all information relating to its investment process and systems and its investment and risk models and research related thereto (“Sub-Adviser Confidential Information”). The Trust and the Adviser shall not use or disclose to its employees, affiliates, or advisors Sub-Adviser Confidential Information except (i) to the extent necessary to monitor the Sub-Adviser and carry out the purposes of this Agreement and the Fund, including any disclosures, information or reports provided to the Board or any disclosures to third party service providers made subject to confidentiality obligations; (ii) as otherwise required by applicable law; or (iii) to the extent such Sub-Adviser Confidential Information is in the public domain for a reason other than a breach hereof by the Trust, the Adviser or any of their respective affiliates.</w:t>
        <w:br/>
        <w:t>15. Duration and Termination; Assignability.</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 xml:space="preserve">  12</w:t>
        <w:br/>
        <w:t>(d) This Agreement shall terminate automatically in the event of its assignment by the Sub-Adviser, or upon the termination of the Advisory Agreement as it relates to the Fund. The Sub-Adviser agrees to bear all reasonable expenses of the Trust associated with the preparation of a proxy statement or information statement, if any, arising out of an assignment by the Sub-Adviser to another party.</w:t>
        <w:br/>
        <w:t>(e) This Agreement may be terminated at any time by the Sub-Adviser on ninety (90) days’ written notice to the Fund and the Adviser.</w:t>
        <w:br/>
        <w:t>(f) Termination of this Agreement shall not affect the status, obligations, or liabilities of the parties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 xml:space="preserve">  13</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to the extent such rule, regulation or order applies to the relevant party.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Attn:Xxxxxxx Xxxxxxxx, Vice President – Fund Operations</w:t>
        <w:br/>
        <w:t>Email:xxxxxxx.xxxxxxxx@xxxxxxxxxx.xxx</w:t>
        <w:br/>
        <w:t xml:space="preserve">  14</w:t>
        <w:br/>
        <w:t>All notices provided to the Sub-Adviser will be sent to the attention of:</w:t>
        <w:br/>
        <w:t>Xxxxxx Xxxx Equity Management, Inc.</w:t>
        <w:br/>
        <w:t>000 Xxxxxx Xxxxx, P.O. Box 650</w:t>
        <w:br/>
        <w:t>Florham Park, New Jersey 07932</w:t>
        <w:br/>
        <w:t>Attn: Xxxxx X. Xxxxxx and Xxxxxxx X. Xxxx</w:t>
        <w:br/>
        <w:t>Email: xxxxx.xxxxxx@xxxx.xxx and xxx.xxxx@xxxx.xxx</w:t>
        <w:br/>
        <w:t>With copy to:</w:t>
        <w:br/>
        <w:t>Attn: Xxxxx Xxxxxxxx</w:t>
        <w:br/>
        <w:t>Email: xxxxx.xxxxxxxx@xxxx.xxx</w:t>
        <w:br/>
        <w:t>(b) The Sub-Adviser may provide the Adviser and the Trust all communications relating to the Fund Account and/or the Sub-Adviser (including, without limitation, the Form ADV Part 2 and any other communication required under the Investment Advisers Act of 1940, as amended, or otherwise), in electronic form, such as through a file attached to an e-mail sent to the e-mail address of the Adviser or the Trust representative(s) provided to the Sub-Adviser, or over a private internet site, in lieu of or in addition to sending such information as hard copies via facsimile or mail. If information is made available over the internet, the designated representatives may be notified of its availability through an e-mail sent to the e-mail addresses for such representatives. The Adviser and the Trust may revoke its consent to electronic delivery of information at any time upon written notice to the Sub-Adviser and receive all information in paper format going forward.</w:t>
        <w:br/>
        <w:t>25. Survival. The provisions of this Agreement shall survive the termination or expiration of this Agreement only with respect to any matter existing prior to such termination or expiration. Notwithstanding the foregoing, the provisions of Sections 14, 19, 21, 22, 24, and 25 shall survive the termination or expiration of this Agreement, in accordance with the terms thereof.</w:t>
        <w:br/>
        <w:t>[rest of page left intentionally blank]</w:t>
        <w:br/>
        <w:t xml:space="preserve">  15</w:t>
        <w:br/>
        <w:t>IN WITNESS WHEREOF, the parties hereto have caused this instrument to be executed by their duly authorized signatories as of December 15, 20201</w:t>
        <w:br/>
        <w:t xml:space="preserve">  GUIDESTONE FUNDS,</w:t>
        <w:br/>
        <w:t>on behalf of the series of the Trust listed on Schedule A</w:t>
        <w:br/>
        <w:t>By:</w:t>
        <w:br/>
        <w:t xml:space="preserve">    Name:</w:t>
        <w:br/>
        <w:t xml:space="preserve">  Xxxx X. Xxxxx</w:t>
        <w:br/>
        <w:t>Title:</w:t>
        <w:br/>
        <w:t xml:space="preserve">  President</w:t>
        <w:br/>
        <w:t>GUIDESTONE CAPITAL MANAGEMENT, LLC</w:t>
        <w:br/>
        <w:t>By:</w:t>
        <w:br/>
        <w:t xml:space="preserve">    Name:</w:t>
        <w:br/>
        <w:t xml:space="preserve">  Xxxxx X. Xxxxx</w:t>
        <w:br/>
        <w:t>Title:</w:t>
        <w:br/>
        <w:t xml:space="preserve">  President</w:t>
        <w:br/>
        <w:t>XXXXXX XXXX EQUITY MANAGEMENT, INC.</w:t>
        <w:br/>
        <w:t>By:</w:t>
        <w:br/>
        <w:t xml:space="preserve">    Name:</w:t>
        <w:br/>
        <w:t xml:space="preserve">  Xxxxxxx X. Xxxx</w:t>
        <w:br/>
        <w:t>Title:</w:t>
        <w:br/>
        <w:t xml:space="preserve">  Vice President</w:t>
        <w:br/>
        <w:t xml:space="preserve">    1 </w:t>
        <w:br/>
        <w:t>Original Agreement dated September 14, 2018.</w:t>
        <w:br/>
        <w:t>Xxxxxxx and restated as of December 15, 2020.</w:t>
        <w:br/>
        <w:t xml:space="preserve">  16</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XXXXXX XXXX EQUITY MANAGEMENT, INC., a registered investment adviser organized under the laws of the State of New Jersey (“Sub-Adviser”).</w:t>
        <w:br/>
        <w:t>WHEREAS, Sub-Adviser provides investment management services to the Trust pursuant to the Sub-Advisory Agreement, amended and restated as of December 15,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“Updated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17</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XXXXXX XXXX EQUITY MANAGEMENT, INC.</w:t>
        <w:br/>
        <w:t xml:space="preserve">By:    </w:t>
        <w:br/>
        <w:t xml:space="preserve">Name:  </w:t>
        <w:br/>
        <w:t xml:space="preserve">Title: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