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SANDS CAPITAL MANAGEMENT,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its other clients and that the total commissions paid by the Fund will be reasonable in relation to the benefits to the Fund over the long term. Subject to seeking best execution, the Board or the Adviser may direct the Sub-Adviser to effect transactions in portfolio securities through brokers and dealers in a manner that will help generate resources to pay the costs of certain expenses that the Trust is required to pay or for which the Trust is required to arrange payment.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 To enable the Sub-Adviser to comply with this paragraph, the Adviser agrees that it will, upon request, provide the Sub-Adviser with a written list of the Trust’s affiliated persons (excluding the Fund’s sub-advisers) and principal underwriter, and their respective affiliated persons,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 The Adviser and the Trust shall not take any action to impede, prevent or delay the settlement of any transaction executed by the Sub-Adviser unless such transaction violates Section 4 hereof.</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 as part of a standard reporting package.</w:t>
        <w:br/>
        <w:t xml:space="preserve">  4</w:t>
        <w:br/>
        <w:t>(i) The Adviser hereby acknowledges that the Sub-Adviser is not responsible for pricing portfolio securities for purposes of calculating the Fund’s net asset value. In accordance with procedures adopted by the Board, as amended from time to time, the Sub-Adviser will, upon request,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reasonably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reasonable request, provide the Trust’s chief compliance officer with periodic reports.</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 xml:space="preserve">  5</w:t>
        <w:br/>
        <w:t>(m)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furnish information regarding transactions in the Fund Account reasonably to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update of such policies and procedures; and (ii) such other information as is necessary to assist the Adviser in complying with Rule 206(4)-6 under the Advisers Act.</w:t>
        <w:br/>
        <w:t xml:space="preserve">  6</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damages, liabilities and costs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 xml:space="preserve">  7</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 xml:space="preserve">  8</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9</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and any changes in the portfolio manager(s) of the Fund Account, in the case of a change in a portfolio manager prior to such change if the Sub-Adviser is aware of such change but in any event not later than promptly after such change. The Sub-Adviser agrees to, upon the request of the Adviser, bear all reasonable expenses of the Trust and Adviser, if any, directly relating to the preparation and dissemination of updated disclosure documents arising out of such change; provided that the Adviser shall use reasonable best efforts to coordinate the preparation, consideration and approval of such documentation in connection with the normal course activities of the Trust and the Board.</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decrease in its insurance coverage (in breadth or amount); or (ii) if any claims in excess of twenty percent (20%) of the coverage amount will be made on one or more of its insurance policies.</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 xml:space="preserve">  10</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with respect to the Fund Account, the Adviser and the Trust in respect thereof. The Sub-Adviser shall take steps to ensure that information identifying portfolio companies as being held in the Fund Account is shared only with such persons that are subject to a duty of confidentiality and duty not to use such information other than in connection with providing services to the Fund Account. The provisions of this Section 14 shall survive any termination of this Agreement.</w:t>
        <w:br/>
        <w:t xml:space="preserve">  11</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 xml:space="preserve">  12</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13</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Sands Capital Management, LLC</w:t>
        <w:br/>
        <w:t>0000 Xxxxxx Xxxx, Xxxxx 0000</w:t>
        <w:br/>
        <w:t>Arlington, Virginia 22209</w:t>
        <w:br/>
        <w:t>Attn: Xxxx XxXxxxxx, Chief Administrative Officer</w:t>
        <w:br/>
        <w:t>Email: xxxxxxxxx@xxxxxxxx.xxx; xxxxxxxxxxxxxxxxx@xxxxxxxx.xxx</w:t>
        <w:br/>
        <w:t>[rest of page left intentionally blank]</w:t>
        <w:br/>
        <w:t xml:space="preserve">  14</w:t>
        <w:br/>
        <w:t>IN WITNESS WHEREOF, the parties hereto have caused this instrument to be executed by their duly authorized signatories as of September 18, 2020.1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SANDS CAPITAL MANAGEMENT, LLC</w:t>
        <w:br/>
        <w:t xml:space="preserve">By:    </w:t>
        <w:br/>
        <w:t xml:space="preserve">Name:    </w:t>
        <w:br/>
        <w:t xml:space="preserve">Title:    </w:t>
        <w:br/>
        <w:t xml:space="preserve">  1 </w:t>
        <w:br/>
        <w:t>Original Agreement dated September 18, 2003, as amended.</w:t>
        <w:br/>
        <w:t>Amended and Restated as of September 18, 2020.</w:t>
        <w:br/>
        <w:t xml:space="preserve">  15</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SANDS CAPITAL MANAGEMENT, LLC, a registered investment adviser organized under the laws of the State of Delaware (“Sub-Adviser”).</w:t>
        <w:br/>
        <w:t>WHEREAS, Sub-Adviser provides investment management services to the Trust pursuant to the Sub-Advisory Agreement,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 and the parties agree that the Trust, and not the Sub-Adviser, shall retain all rights and perform all duties that may be exercisable in relation to any assets held or that were held in the Fund Account with respect to the right to vote (or to refrain from voting).”</w:t>
        <w:br/>
        <w:t xml:space="preserve">    (b)</w:t>
        <w:br/>
        <w:t>Schedule B is hereby amended to delete all clauses containing references to proxies and proxy voting.</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16</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SANDS CAPITAL MANAGEMENT, LLC</w:t>
        <w:br/>
        <w:t xml:space="preserve">By:    </w:t>
        <w:br/>
        <w:t xml:space="preserve">Name:  </w:t>
        <w:br/>
        <w:t xml:space="preserve">Title:  </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