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GUGGENHEIM PARTNERS INVESTMENT MANAGEMENT,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prior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Fund hereby makes, constitutes and appoints the Sub-Adviser, with full power of substitution (any person in favor of which such power of substitution shall be exercised being referred to as a “Subattorney”), as its true and lawful agent and attorney-in-fact, with full power and authority in its name, place and stead (a) to sign, execute, certify, swear to, acknowledge, deliver, file, receive and record any and all documents and (b) to (i) vote and/or execute any documents required to perform its duties in accordance with the terms hereof. This grant of power of attorney is coupled with an interest and, to the extent permitted by applicable law, irrevocable, and it shall survive and not be affected by the subsequent dissolution or bankruptcy of the Fund; provided, however, that this grant of power of attorney shall expire, and the Sub-Adviser and any Subattorney shall cease to have any power to act as the Fund’s agent or attorney-in-fact, upon termination of this Agreement. The Sub-Adviser shall have the power and authority to negotiate, enter into, and execute, on behalf of the Fund Account, trading documentation, including but not limited to ISDA master agreements, master repurchase agreements, prime brokerage agreements, futures and cleared derivatives agreements, listed options agreements, master confirmation agreements, trade confirmations, credit support annexes, clearing agreements, Master Securities Forwards Trading Agreements, and any similar documentation, inclusive of amendments thereto (hereby “Trading Documents”). The Sub-Adviser agrees that, prior to opening (or amending) any accounts related to or governed by Trading Documents, or entering into or executing any Trading Documents, the Sub-Adviser shall provide the Fund’s accounting agent and administrator (“Administrator”), custodian bank (“Custodian”), and the Adviser with a list of counterparties, prime brokers, or clearing brokers who are parties to such Trading Documents. The Sub-Advisor shall also provide, to the Fund, Adviser, or Administrator, copies of Trading Documents (or amendments thereto) that the Sub-Adviser has executed on behalf of the Fund Account upon their request. The parties agree that any account control agreements, custodial agreements, collateral account control agreements, special custody and pledge agreements, and any similar third party or tri-party custodial or control agreements for the Fund Account (“Control Agreements”) shall be negotiated and executed by the Fund or Adviser, and Sub-Adviser shall have no power to negotiate or execute such Control Agreements.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 xml:space="preserve">  2</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(the “Restricted Issuers List”), which the Adviser in its sole discretion will amend or supplement from time to time. The Adviser will provide the Sub-Adviser with such amendments or supplements to the Restricted Issuers List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3</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In addition, to the extent permitted by applicable law and in accordance with the terms of the Investment Guidelines, the Adviser, on behalf of the Fund Account, hereby consents to any client cross transaction where the Sub-Adviser causes a securities transaction to be effected between the Fund Account and another account advised by it or any of its affiliates.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4</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 xml:space="preserve">  5</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while the Custodian is responsible for notifying the Sub-Adviser of corporate actions relevant to the Fund Account, the Sub-Adviser will use reasonable efforts to inform the Adviser of any information related to any corporate action of which the Sub-Adviser becomes aware and which the Sub-Adviser is able to reasonably determine is relevant to the investments of the Fund Account and not otherwise known by us from the Custodian. Unless otherwise specified by the Adviser, all trades shall be communicated by the Sub-Adviser to the Fund’s Custodian and Administrator by 10 a.m. Central Time on the business day following the trade date. The Sub-Adviser shall notify the Fund’s Custodian and Administrator as soon as reasonably practicable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daily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on the same day that they are identified,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3(j),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 All reporting required by Schedule C shall be provided by Sub-Adviser to the Adviser via the DiligenceVault platform (or such other system that the Adviser may employ for its due diligence and oversight of sub-advisers in the future and so direct the Sub-Adviser). The Adviser acknowledges that the Sub-Adviser has not selected DiligenceVault and will not be liable for, e.g., business continuity issues that might prevent the Sub-Adviser from providing the required reports by the required deadlines. The Sub-Adviser is responsible for meeting its standard of care as reflected in Section 8 hereof when providing reporting through DiligenceVault. For the avoidance of doubt, while the Sub-Adviser may use its own electronic portals, in addition to DiligenceVault, per its standard policies and procedures, the provision of materials via these other electronic portals will not be deemed to satisfy the Sub-Adviser’s obligations to provide the reports required by this section, unless otherwise agreed to in writing by the Adviser.</w:t>
        <w:br/>
        <w:t xml:space="preserve">  6</w:t>
        <w:br/>
        <w:t>(l) In accordance with procedures adopted by the Board, as amended from time to time, the Sub-Adviser will upon reasonable request provide reasonable assistance to the Administrator and/or the Fund in determining or confirming the fair valuation of portfolio securities held in the Fund Account and will, upon request, use its reasonable efforts to arrange for the provision of valuation information, or one or more price(s), for each portfolio security held in the Fund Account for which the Administrator does not obtain prices in the ordinary course of business from an automated pricing service. Additionally, the Sub-Adviser shall be responsible for obtaining valuations for derivative instruments from Counterparties and for providing that information (and any valuation determinations made by the Sub-Adviser) to the Fund’s Administrator and the Adviser for their consideration as the Administrator or Adviser may specify and as reasonably agreed by the Sub-Adviser. The Sub-Adviser shall promptly notify the Adviser if, for any reason, the Sub-Adviser believes that the price assigned to any security or other investment in the Fund Account that is not readily ascertainable may not accurately reflect the fair value thereof (a “Fair Valuation Event”). In those circumstances, approved fair valuation methodology may be utilized by the Sub-Adviser to establish a price, at which time a fair valuation recommendation would be provided to the Adviser. The Sub-Adviser will maintain adequate records with respect to securities fair valuation information provided hereunder, and shall provide such information to the Adviser upon request, with such records being deemed Fund records. Notwithstanding the foregoing, the Adviser and the Trust hereby acknowledge that (i) the Sub-Adviser is not the pricing agent for the Fund and therefore not responsible for valuing the Fund’s securities for purposes of calculating the Fund’s net asset value and (ii) the Sub-Adviser shall not be responsible for any actions undertaken by the Adviser for the Fund as a result of a Fair Valuation Event and shall not be held liable for any errors in the calculation of the net asset value of the Fund following a Fair Valuation Event. The Adviser and Trust further acknowledge that certain information, data or analyses may be proprietary to the Sub-Adviser or otherwise consist of nonpublic information, and agree that nothing in this Agreement shall require the Sub-Adviser to provide any information, data or analysis in contravention of applicable legal or contractual requirements, and, with respect to any information that is provided, agree to use any such information only for the purpose of pricing securities held in the Fund Account and to maintain their confidentiality in accordance with Section 14 hereof.</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 xml:space="preserve">  7</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in all material respects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(at the Trust’s expense) to evaluate the effectiveness of the Sub-Adviser’s compliance controls. Upon request and reasonable prior notice, the Trust’s chief compliance officer shall have direct access to the Sub-Adviser’s chief compliance officer, and to the extent permitted by applicable law and regulation, the Sub-Adviser shall provide the Trust’s chief compliance officer with periodic reports and special reports with respect to any Material Compliance Matters (as defined in Rule 38a-1 under the 1940 Act).</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3(o), it will provide the Adviser and the Fund with 30 days’ prior written notice, which will include the identity of the affiliated person and such other information reasonably requested by the Adviser or the Fund. Subject to applicable law, the Sub-Adviser is authorized to invest the Fund Account in (i) mutual funds, closed-end funds, private investment or equity funds, and/or exchange-traded funds which may be advised by the Sub-Adviser or one of its affiliates; (ii) investments which the Sub-Adviser or one of its affiliates originated, structured, arranged or placed; (iii) investments for which the Sub-Adviser or one of its affiliates acts as the collateral agent, administrator, originator, manager or other service provider; (iv) investments that are backed by collateral (including funds) that could include assets originated, sold or managed by the Sub-Adviser or one of its affiliates; and (v) investments that may otherwise involve the participation of affiliates of the Sub-Adviser (collectively, “Affiliated Investments”), which Affiliated Investments may result in commissions, fees or other remuneration to the Sub-Adviser or its affiliates. The Sub-Adviser and its affiliates are authorized to retain any such commissions, fees or other remuneration and such amounts will not reduce the fees paid by the Fund Account to the Sub-Adviser pursuant to this Agreement.</w:t>
        <w:br/>
        <w:t xml:space="preserve">  8</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 xml:space="preserve">  9</w:t>
        <w:br/>
        <w:t>6. Expenses. During the term of this Agreement, the Sub-Adviser will bear all expenses incurred by it in connection with its services under this Agreement other than the cost of securities and investment expenses (including trade-related expenses such as brokerage commissions, sales commissions, trade clearance and settlement fees, trade confirmation and reconciliation fees, bank service fees, withholding and transfer fees, loan fees and loan-pricing fees, custodial fees,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after the net asset value of the Fund Account exceeds $500,000,000: (i) the Sub-Adviser enters into a new sub-advisory agreement to provide to any U.S. domiciled third-party investment company registered under the 1940 Act investment sub-advisory services using the investment strategies substantially similar to those provided by the Sub-Adviser to the Fund pursuant to this Agreement, (ii) the value of the assets under management with respect to which the Sub-Adviser provides such sub-advisory services to such other investment company is equal to or less than the value of the Fund Account, and (iii) the Sub-Adviser is compensated for providing such sub-advisory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 For the avoidance of doubt, the provisions of this Section 7 shall not apply to the following types of clients: (a) any clients or funds of the Sub-Adviser’s affiliates; (b) any clients for which the Sub-Adviser provides direct discretionary or non-discretionary advisory services; (c) any mutual funds advised directly by the Sub-Adviser; (d) any clients that are affiliates, employees or principals of the Sub-Adviser or family members of the foregoing; (e) smaller client accounts who are part of a collective relationship where the Sub-Adviser manages aggregate assets greater than the Fund Account; or (f) client accounts in existence as of the date hereof.</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has been determined by a court of competent jurisdiction to have involved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 xml:space="preserve">  10</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has been determined by a court of competent jurisdiction to have involved the Adviser’s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has been determined by a court of competent jurisdiction to have involved the Trust’s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has been determined by a court of competent jurisdiction to have involved the Sub-Adviser’s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has been determined by a court of competent jurisdiction to have involved the Sub-Adviser’s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 xml:space="preserve">  11</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 xml:space="preserve">  12</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as soon as reasonably practicable notify the Trust and Adviser of any known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as soon as reasonably practicable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reasonable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 to the extent permitted by applicable law and regulation and unless requested or required by the SEC or another regulator not to notify.</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13</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 xml:space="preserve">  14</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w:t>
        <w:br/>
        <w:t>(a)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or services of the Sub-Adviser, the Adviser and the Trust in respect thereof, including but not limited to any or all computational algorithms, procedures or techniques related to investment strategies, essential ideas and principles underlying such algorithms, procedures or techniques conceived, originated, discovered, developed, acquired, evaluated, tested, or utilized by such other party, information, software, databases, trade secrets, sales and marketing information, operations material and memoranda, client and investor lists and information, pricing information and financial information concerning or relating to the business, employees, and affairs of such party (“Confidential Information”). Notwithstanding anything to the contrary, the term “Confidential Information” shall not include any information that: (a) is or becomes generally known or available to the public through no breach hereof by the Recipient (defined below), (b) was obtained by the Recipient from a third party without any obligation to the disclosing party known to the Recipient to maintain the Confidential Information as confidential, and (c) was available to the Recipient on a non-confidential basis prior to its disclosure by the disclosing party. The Sub-Adviser shall take reasonable steps to ensure that the Fund’s portfolio holdings information is shared only with such persons that are subject to a duty of confidentiality and duty not to trade on such information. The provisions of this Section 14 shall survive any termination of this Agreement.</w:t>
        <w:br/>
        <w:t xml:space="preserve">  15</w:t>
        <w:br/>
        <w:t>(b) Notwithstanding anything to the contrary in this Agreement, the parties to this agreement may disclose Confidential Information to their respective Representatives (together with the parties, each who receives Confidential Information, a “Recipient”) solely for the purposes specified in this Agreement or to fulfill obligations imposed by this Agreement. In the event that the Recipient becomes legally compelled or required to disclose any such Confidential Information (including, but not limited to, by inspections, examinations, or inquiries by federal or state regulatory agencies and self-regulatory organizations that have requested or required the inspection of records that contain such information, or if such disclosure is needed in connection with the defense, action, suit, or investigation brought against Recipient), such Recipient shall, if legally permitted to do so, provide the other party with prompt notice prior to disclosing any such information, so that the other party may seek a protective order or other appropriate remedy (at such party’s own expense) and/or waive compliance with the provisions of this Agreement, and, if such protective order or other remedy is not obtained, or that the other party does not waive compliance with the provisions of this Agreement as to disclosure of information, the Recipient will, save to the extent it is legally compelled otherwise, furnish only that portion of the information which it is advised in an opinion of counsel is legally required and will exercise its reasonable efforts to cooperate in obtaining reliable assurance that confidential treatment will be accorded the information.</w:t>
        <w:br/>
        <w:t>(c) Notwithstanding anything to the contrary herein, the Trust and the Adviser agree that the Sub-Adviser shall have the right to disclose the performance of the Fund Account or the identity of each of the Fund Account, the Fund, the Trust or the Adviser to third parties at any time in connection with the activities of the Fund Account (including to effect the purchase and sale of investments) as provided for in this Agreement or as otherwise agreed upon by the Adviser and the Sub-Adviser.</w:t>
        <w:br/>
        <w:t>(d) For purposes of this Section 14, the term “Sub-Adviser” shall include the Sub-Adviser and/or any of its affiliates.</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(any such notice period in this Section 15, the “Notice Period”) to the Sub-Adviser.</w:t>
        <w:br/>
        <w:t xml:space="preserve">  16</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except by an instrument in writing signed by the parties hereto.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or interpretation thereof,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 the Registration Statements, Fund fact sheets and marketing material, solely to the extent regarding the provision of sub-advisory services by the Sub-Adviser pursuant to this Agreement and to include in such information the (i) name of the Sub-Adviser or (ii) any trademark, service mark, symbol or logo of the Sub-Adviser, without the prior written consent of the Sub-Adviser. The Adviser will provide copies of such items to the Sub-Adviser pursuant to the terms of this Agreement, and otherwise upon request within a reasonable time following such use, publication or distribution. Any use of information relating to, mentioning or otherwise concerning the Sub-Adviser or its licensed marks not expressly permitted by this Section 20 will require the prior written consent of the Sub-Adviser.</w:t>
        <w:br/>
        <w:t xml:space="preserve">  17</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18</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(including, for the avoidance of doubt, any regulatory communications and other information, including documents required to be delivered pursuant to the Advisers Act (e.g., Part 2A of the Sub-Adviser’s Form ADV)) will be delivered by personal service, by postage mail – return receipt requested or sent by electronic transmission (via email) or a similar means of same day delivery. All notices provided to Adviser will be sent to:</w:t>
        <w:br/>
        <w:t>GuideStone Capital Management, LLC</w:t>
        <w:br/>
        <w:t>0000 Xxxxxx X. Xxxxxxx Xxxxxxx, Xxxxx 0000</w:t>
        <w:br/>
        <w:t>Dallas, Texas 75244-6152</w:t>
        <w:br/>
        <w:t>Attn: Xxxxxxx Xxxxxxxx, Vice President – Fund Operations and Secretary</w:t>
        <w:br/>
        <w:t>Email: xxxxxxx.xxxxxxxx@xxxxxxxxxx.xxx</w:t>
        <w:br/>
        <w:t>All notices provided to the Sub-Adviser will be sent to:</w:t>
        <w:br/>
        <w:t>Guggenheim Partners Investment Management, LLC</w:t>
        <w:br/>
        <w:t>000 Xxxxxxx Xxxxxx</w:t>
        <w:br/>
        <w:t>10th Floor New York, New York 10017, USA</w:t>
        <w:br/>
        <w:t>Attention: GI Legal Team</w:t>
        <w:br/>
        <w:t>E-mail: XXXxxxx@xxxxxxxxxxxxxxxxxx.xxx</w:t>
        <w:br/>
        <w:t>[rest of page left intentionally blank]</w:t>
        <w:br/>
        <w:t xml:space="preserve">  19</w:t>
        <w:br/>
        <w:t>IN WITNESS WHEREOF, the parties hereto have caused this instrument to be executed by their duly authorized signatories as of June 1, 2022.1</w:t>
        <w:br/>
        <w:t xml:space="preserve">  GUIDESTONE FUNDS,</w:t>
        <w:br/>
        <w:t>on behalf of the series of the Trust listed on Schedule A</w:t>
        <w:br/>
        <w:t>By:</w:t>
        <w:br/>
        <w:t xml:space="preserve">    Name:  </w:t>
        <w:br/>
        <w:t>Xxxx X. Xxxxx</w:t>
        <w:br/>
        <w:t>Title:</w:t>
        <w:br/>
        <w:t xml:space="preserve">  President</w:t>
        <w:br/>
        <w:t>GUIDESTONE CAPITAL MANAGEMENT, LLC</w:t>
        <w:br/>
        <w:t>By:</w:t>
        <w:br/>
        <w:t xml:space="preserve">    Name:</w:t>
        <w:br/>
        <w:t xml:space="preserve">  Xxxxx X. Xxxxx</w:t>
        <w:br/>
        <w:t>Title:</w:t>
        <w:br/>
        <w:t xml:space="preserve">  President</w:t>
        <w:br/>
        <w:t>GUGGENHEIM PARTNERS INVESTMENT MANAGEMENT, LLC</w:t>
        <w:br/>
        <w:t>By:</w:t>
        <w:br/>
        <w:t xml:space="preserve">    Name:   Xxxxxxx X. Xxxxxxxxx</w:t>
        <w:br/>
        <w:t>Title:   Attorney-in-Fact</w:t>
        <w:br/>
        <w:t xml:space="preserve">  1 </w:t>
        <w:br/>
        <w:t>Original Agreement dated June 1, 2022.</w:t>
        <w:br/>
        <w:t xml:space="preserve">  20</w:t>
        <w:br/>
        <w:t>FIRST AMENDMENT TO THE SUB-ADVISORY AGREEMENT</w:t>
        <w:br/>
        <w:t>THIS FIRST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GUGGENHEIM PARTNERS INVESTMENT MANAGEMENT, LLC, a registered investment adviser organized under the laws of the State of Delaware (“Sub-Adviser”).</w:t>
        <w:br/>
        <w:t>WHEREAS, Sub-Adviser provides investment management services to the Trust pursuant to the Sub-Advisory Agreement, dated as of June 1, 2022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Policies and Procedures” from the list of policies and procedures applicable to the Sub-Adviser.</w:t>
        <w:br/>
        <w:t xml:space="preserve">    (c)</w:t>
        <w:br/>
        <w:t>Schedule C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21</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GUGGENHEIM PARTNERS INVESTMENT MANAGEMENT, LLC</w:t>
        <w:br/>
        <w:t xml:space="preserve">By:  </w:t>
        <w:br/>
        <w:t xml:space="preserve">  Name:  </w:t>
        <w:br/>
        <w:t xml:space="preserve">Title:  </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