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and GUIDESTONE CAPITAL MANAGEMENT, LLC, a limited liability company organized under the laws of the State of Texas (“Adviser”), and THE LONDON COMPANY OF VIRGINIA, LLC, a registered investment adviser organized under the laws of the State of Delaware (“Sub-Adviser”).</w:t>
        <w:br/>
        <w:t>WHEREAS, the Adviser has entered into an Investment Advisory Agreement (“Management Agreement”) with the Trust, an open-end management investment company registered under the Investment Company Act of 1940, as amended (“1940 Act”); and</w:t>
        <w:br/>
        <w:t>WHEREAS, the Value Equity Fund is a series of the Trust (“Fund”); and</w:t>
        <w:br/>
        <w:t>WHEREAS, under the Management Agreement, the Adviser has agreed to provide certain investment advisory services to the Fund; and</w:t>
        <w:br/>
        <w:t>WHEREAS, the Adviser is authorized under the Management Agreement to delegate certain of its investment advisory responsibilities to one or more persons or companies; and</w:t>
        <w:br/>
        <w:t>WHEREAS, the Board of Trustees of the Trust (“Board”) and the Adviser desire that the Adviser retain the Sub-Adviser to render investment advisory services for the portion of the Fund’s assets allocated to the Sub-Adviser, as determined from time to time by the Adviser,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render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with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once they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(including brokers that may be affiliates of the Sub-Adviser to the extent permitted by Section 3(d) hereof) who provide the Sub-Adviser with research, analysis, advice and similar services to execute portfolio transactions, and the Sub-Adviser may pay to those brokers in return for brokerage and research services a higher commission than may be charged by other brokers,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direct the Sub-Adviser to effect transactions in portfolio securities through broker-dealers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w:t>
        <w:br/>
        <w:t xml:space="preserve">  2</w:t>
        <w:br/>
        <w:t>In no instance will portfolio securities or other assets be purchased from or sold to the Sub-Adviser, any other investment sub-adviser that serves as sub-adviser to one or more series of the Trust, or any affiliated person thereof, except in accordance with the 1940 Act, the Investment Advisers Act of 1940, as amended (“Advisers Act”), and the rules under each, and all other federal and state laws or regulations applicable to the Trust and the Fund, or in accordance with an order of exemption received from the United States Securities and Exchange Commission (“SEC”).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account.</w:t>
        <w:br/>
        <w:t>(d) Except as permitted by law or an exemptive order or rule of the SEC, and the Trust’s policies and procedures adopted thereunder, the Sub-Adviser agrees that it will not execute without the prior written approval of the Adviser any portfolio transactions for the Fund Account with a broker or dealer which is (i) an affiliated person of the Trust, the Adviser or any sub-adviser for any series of the Trust; (ii) a principal underwriter of the Trust’s shares; or (iii) an affiliated person of such an affiliated person or principal underwriter. The Adviser agrees that it will provide the Sub-Adviser with a written list of such brokers and dealers and will, from time to time, update such list as necessary. The Sub-Adviser agrees that it will provide the Adviser with a written list of brokers and dealers that are affiliates of the Sub-Adviser and will, from time to time, update such list as necessary.</w:t>
        <w:br/>
        <w:t>(e) In furnishing services hereunder, to the extent prohibited under,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and (iii) a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and may not be withheld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w:t>
        <w:br/>
        <w:t>(g) All transactions will be consummated by payment to or delivery by the custodian designated by the Trust (the “Custodian”), or such depositories or agents as may be designated by the Custodian in writing, of all assets due to or from the Fund Account, and the Sub-Adviser shall not have possession or custody thereof.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and except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A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a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value thereof. The Sub-Adviser will maintain adequate records with respect to securities valuation information provided hereunder, and shall provide such information to the Adviser upon request, with such records being deemed Fund records.</w:t>
        <w:br/>
        <w:t xml:space="preserve">  4</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The Sub-Adviser will prepare and cause to be filed in a timely manner Form 13F and, if required,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and the rules and regulations promulgated by the SEC thereunder, and Rule 38a-1 of the 1940 Act. Specifically, the Sub-Adviser agrees to (a)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(b) upon request and reasonable prior notice, cooperate with third-party audits arranged by the Trust to evaluate the effectiveness of the Trust’s compliance controls; (c) upon request and reasonable prior notice, provide the Trust’s chief compliance officer with direct access to its chief compliance officer (or his/her designee); and (d) upon request, provide the Trust’s chief compliance officer with periodic reports.</w:t>
        <w:br/>
        <w:t>(l) The Sub-Adviser is permitted to use persons employed by an “affiliated person” (as defined in the 1940 Act) of the Sub-Adviser, each of whom shall be treated as an “associated person” of the Sub-Adviser (as defined in the Advisers Act) to assist in providing discretionary investment advisory services under the Agreement to the extent not prohibited by, or inconsistent with, applicable law, including the requirements of the 1940 Act and Advisers Act, the rules thereunder, and relevant positions of the SEC and its staff. In addition, Sub-Adviser is permitted to use affiliates and employees of such affiliates, to assist in providing non-discretionary investment advisory services. The Sub-Adviser will be responsible under the Agreement for any action taken by such person on behalf of the Sub-Adviser in assisting the Sub-Adviser under the Agreement to the same extent as if the Sub-Adviser had taken such action directly. All fees and/or other compensation payable to a participating affiliate shall be the sole responsibility of the Sub-Adviser and neither the Fund nor the Adviser shall have any obligation to pay any fee or compensation to such participating affiliate. To the extent the Sub-Adviser utilizes the services of a participating affiliate under this Section 3(l), it will provide the Adviser and the Fund with 30 days’ written notice, which will include the identity of the participating affiliate and such other information reasonably requested by the Adviser or the Fund.</w:t>
        <w:br/>
        <w:t xml:space="preserve">  5</w:t>
        <w:br/>
        <w:t>(m) The Sub-Adviser will not be responsible for making any class action filings, including bankruptcies, on behalf of the Fund Account. The Sub-Adviser shall use best efforts to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under each; (ii) the requirements of Subchapter M of the Internal Revenue Code of 1986, as amended (“Code”), applicable to regulated investment companies; (iii) the CEA;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 xml:space="preserve">  6</w:t>
        <w:br/>
        <w:t>7. Compensation. The compensation of the Sub-Adviser for its services under this Agreement shall be calculated daily and paid monthly by the Trust, and not the Adviser, in accordance with the attached Schedule B. The Sub-Adviser shall not be responsible for any expenses incurred by the Fund or the Trust.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The Sub-Adviser agrees that if it enters into another agreement for a substantially identical investment strategy with respect to the same or a lower level of assets as the Fund Account for which the compensation to the Sub-Adviser under such agreement is lower than the compensation paid by the Fund as set forth in Schedule B, it will notify the Trust and the Adviser of the lower fee. For the avoidance of doubt, this notification refers to accounts with comparable service level and vehicle.</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damages, liabilities, costs and expenses (including legal)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damages, liabilities, costs and expenses (including legal)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damages, liabilities, costs and expenses (including legal)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 xml:space="preserve">  7</w:t>
        <w:br/>
        <w:t>(d) The Sub-Adviser shall indemnify the Trust and any of its trustees, officers, employees and affiliates for all losses, damages, liabilities, costs and expenses (including legal)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 (“Securities Act”).</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 xml:space="preserve">  8</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action, suit, proceeding, inquiry or investigation, at law or in equity, or any threat thereof, before or by any court, public board or body, directly involving the affairs of the Fund as well as any non-routine contact from the SEC or other regulator.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and any actions taken in response to issues or items raised by the SEC or 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 promptly report to the Board in writing any material amendments to its code of ethics; (ii) immediately furnish to the Board all information regarding any material violation of the code of ethics by any person who would be considered an Access Person under the Trust’s and Adviser’s code of ethics, if such person were not subject to the Sub-Adviser’s code of ethics; and (iii)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17j-1(c)(1) and all other records relevant to the Sub-Adviser’s code of ethics.</w:t>
        <w:br/>
        <w:t xml:space="preserve">  9</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changes in its insurance policies or insurance coverage; or (ii) if any material claims will be made on its insurance policies.</w:t>
        <w:br/>
        <w:t>(g) The Sub-Adviser will not, in violation of applicable law or regulation, use any material, non-public information concerning portfolio companies that may be in or come into its possession or the possession of any of its affiliates or employees in providing investment advice or investment management services to the Fund.</w:t>
        <w:br/>
        <w:t>(h) The Sub-Adviser agrees that neither it, nor any of its affiliates, will in any way refer directly or indirectly to its relationship with the Trust, the Fund, the Adviser or any of their respective affiliates in offering, marketing or other promotional materials without the express written consent of the Adviser. For clarity purposes, the Sub-Adviser may identify itself as a client of the Fund during the term of this Agreement, which such right terminating upon termination of this Agreement, and the Sub-Adviser may use the performance of the Fund Account in its composite performance.</w:t>
        <w:br/>
        <w:t xml:space="preserve">  10</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CFTC and a member of the NFA or exempt or excluded from CFTC registration requirements.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agency,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Authorized Representatives of the Adviser. The Sub-Adviser is expressly authorized to rely upon any and all instructions, approvals and notices given on behalf of the Adviser by any one or more of those persons designated as representatives of the Adviser whose names, titles and specimen signatures appear in Schedule C attached hereto. The Adviser may amend such Schedule C from time to time by written notice to the Sub-Adviser. The Sub-Adviser shall continue to rely upon these instructions until notified by the Adviser to the contrary.</w:t>
        <w:br/>
        <w:t>16.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Act)of any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 xml:space="preserve">  11</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Management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17.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Trust receives an SEC order or no-action letter permitting it to modify the Agreement without such vote or a regulation exists under the 1940 Act that permits such action without such vote).</w:t>
        <w:br/>
        <w:t>18.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19.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20.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21.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 xml:space="preserve">  12</w:t>
        <w:br/>
        <w:t>22.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23. Severability. If any provision of this Agreement is held or made invalid by a court decision, statute, rule or otherwise, the remainder of this Agreement shall not be affected thereby.</w:t>
        <w:br/>
        <w:t>24.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25.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facsimile or email) or a similar means of same day delivery which provides evidence of receipt (or with a confirming copy by mail as set forth herein). All notices provided to Adviser will be sent to the attention of Xxxxxxx Xxxxxxxx. All notices provided to the Sub-Adviser will be sent to the attention of Xxxxxxx Xxxxxxxx.</w:t>
        <w:br/>
        <w:t>[rest of page left intentionally blank]</w:t>
        <w:br/>
        <w:t xml:space="preserve">  13</w:t>
        <w:br/>
        <w:t>IN WITNESS WHEREOF, the parties hereto have caused this instrument to be executed by their duly authorized signatories as of March 4, 2020.1</w:t>
        <w:br/>
        <w:t xml:space="preserve">              GUIDESTONE FUNDS – VALUE EQUITY FUND</w:t>
        <w:br/>
        <w:t xml:space="preserve">        5005 Xxxxxx X. Xxxxxxx Freeway</w:t>
        <w:br/>
        <w:t xml:space="preserve">        Suite 2200</w:t>
        <w:br/>
        <w:t xml:space="preserve">        Dallas, Texas 75244</w:t>
        <w:br/>
        <w:t xml:space="preserve">Attest        </w:t>
        <w:br/>
        <w:t xml:space="preserve">By:           By:    </w:t>
        <w:br/>
        <w:t>Name:   Xxxxxxx Xxxxxxxx       Name:   Xxxx X. Xxxxx</w:t>
        <w:br/>
        <w:t>Title:   Vice President – Fund Operations       Title:   President</w:t>
        <w:br/>
        <w:t xml:space="preserve">        GUIDESTONE CAPITAL MANAGEMENT, LLC</w:t>
        <w:br/>
        <w:t xml:space="preserve">        5005 Xxxxxx X. Xxxxxxx Freeway</w:t>
        <w:br/>
        <w:t xml:space="preserve">        Suite 2200</w:t>
        <w:br/>
        <w:t xml:space="preserve">        Dallas, Texas 75244</w:t>
        <w:br/>
        <w:t xml:space="preserve">Attest        </w:t>
        <w:br/>
        <w:t xml:space="preserve">By:           By:    </w:t>
        <w:br/>
        <w:t>Name:   Xxxx X. Xxxxx       Name:   Xxxxx X. Xxxxx</w:t>
        <w:br/>
        <w:t>Title:   Vice President and Chief Investment Officer       Title:   President</w:t>
        <w:br/>
        <w:t xml:space="preserve">        THE LONDON COMPANY OF VIRGINIA, LLC</w:t>
        <w:br/>
        <w:t xml:space="preserve">        0000 Xxxxxxxx Xxxxx</w:t>
        <w:br/>
        <w:t xml:space="preserve">        Suite 301</w:t>
        <w:br/>
        <w:t xml:space="preserve">        Richmond, Virginia 23226</w:t>
        <w:br/>
        <w:t xml:space="preserve">Attest               </w:t>
        <w:br/>
        <w:t xml:space="preserve">By:            By:          </w:t>
        <w:br/>
        <w:t xml:space="preserve">Name:            Name:     </w:t>
        <w:br/>
        <w:t xml:space="preserve">Title:            Title:     </w:t>
        <w:br/>
        <w:t xml:space="preserve">  1 </w:t>
        <w:br/>
        <w:t>Original Agreement dated March 4, 2020.</w:t>
        <w:br/>
        <w:t xml:space="preserve">  14</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THE LONDON COMPANY OF VIRGINIA, LLC, a registered investment adviser organized under the laws of the State of Delaware (“Sub-Adviser”).</w:t>
        <w:br/>
        <w:t>WHEREAS, Sub-Adviser provides investment management services to the Trust pursuant to the Sub-Advisory Agreement, dated as of March 4,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A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15</w:t>
        <w:br/>
        <w:t>IN WITNESS WHEREOF, the parties hereto have caused this Amendment to be executed by a duly authorized officer on one or more counterparts as of the date and year written above.</w:t>
        <w:br/>
        <w:t xml:space="preserve">  GUIDESTONE FUNDS</w:t>
        <w:br/>
        <w:t xml:space="preserve">By:    </w:t>
        <w:br/>
        <w:t>Name:</w:t>
        <w:br/>
        <w:t xml:space="preserve">  Xxxxx X. Xxxxx</w:t>
        <w:br/>
        <w:t>Title:</w:t>
        <w:br/>
        <w:t xml:space="preserve">  President</w:t>
        <w:br/>
        <w:t>GUIDESTONE CAPITAL MANAGEMENT, LLC</w:t>
        <w:br/>
        <w:t xml:space="preserve">By:    </w:t>
        <w:br/>
        <w:t>Name:</w:t>
        <w:br/>
        <w:t xml:space="preserve">  Xxxxxxx Xxxxxxxx</w:t>
        <w:br/>
        <w:t>Title:</w:t>
        <w:br/>
        <w:t xml:space="preserve">  Vice President – Investment Officer</w:t>
        <w:br/>
        <w:t>THE LONDON COMPANY OF VIRGINIA, LLC</w:t>
        <w:br/>
        <w:t xml:space="preserve">By:    </w:t>
        <w:br/>
        <w:t>Name:</w:t>
        <w:br/>
        <w:t>Title:</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