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Madison ETFs Trust 485BPOS</w:t>
        <w:br/>
        <w:t xml:space="preserve">  Exhibit 99(d)(2)</w:t>
        <w:br/>
        <w:t xml:space="preserve">  TRADING SERVICES</w:t>
        <w:br/>
        <w:t>SUB-ADVISORY AGREEMENT</w:t>
        <w:br/>
        <w:t xml:space="preserve">  This Trading Services Sub-Advisory Agreement (the “Agreement”) is made as of this 1st day of December, 2023 by and between Madison Asset Management, LLC, a a Wisconsin limited liability company, with its principal place of business at 000 Xxxxxxx Xxxxx, Xxxxxxx, XX 00000 (the “Adviser”), and Toroso Investments, LLC, a Delaware limited liability company, with its principal place of business at 000 X. Xxxxxxxx, Xxxxx 0, Xxxxxxxxxx, XX 00000 (the “Sub-Adviser”), with respect to the series of Madison ETFs Trust (the “Trust”) identified on Schedule A to this Agreement, as may be amended from time to time (each, a “Fund,” and collectively, the “Funds”).</w:t>
        <w:br/>
        <w:t xml:space="preserve">  BACKGROUND</w:t>
        <w:br/>
        <w:t xml:space="preserve">  A.          The Adviser is registered as an investment adviser under the Investment Advisers Act of 1940, as amended (the “Advisers Act”), and engages in the business of providing investment advisory services.</w:t>
        <w:br/>
        <w:t xml:space="preserve">  B.           The Adviser has entered into an Investment Advisory Agreement dated as of [. ], 2023, as amended, (the “Investment Advisory Agreement”) with the Trust, an open-end management investment company registered under the Investment Company Act of 1940, as amended (the “1940 Act”), on behalf of the Funds.</w:t>
        <w:br/>
        <w:t xml:space="preserve">  C.           The Sub-Adviser is registered as an investment adviser under the Advisers Act and engages in the business of providing investment advisory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