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SUB-ADVISORY AGREEMENT</w:t>
        <w:br/>
        <w:t>THIS AMENDED AND RESTATED SUB-ADVISORY AGREEMENT (“Agreement”) is made among GUIDESTONE FUNDS, a Delaware statutory trust (“Trust”), GUIDESTONE CAPITAL MANAGEMENT, LLC, a limited liability company organized under the laws of the State of Texas (“Adviser”), and AQR CAPITAL MANAGEMENT,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pursuant to prior agreements among the parties hereto effective February 28, 2008, as amended, with respect to the International Equity Fund, August 17, 2011, as amended, with respect to the Defensive Market Strategies Fund, and October 31, 2013, as amended with respect to the Emerging Markets Equity Fund, respectively, each of which was amended and restated into a single agreement dated September 18, 2020 (the “Prior Agreements”), the Adviser has retained the Sub-Adviser to furnish investment advisory services on behalf of the series of the Trust listed on Schedule A; and</w:t>
        <w:br/>
        <w:t>WHEREAS, the parties hereto desire that the Prior Agreements be amended and restated on the terms set forth in this Agreement;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applicable and provided to the Sub-Adviser, as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 Notwithstanding the foregoing or anything else contained in this Agreement, Sub-Adviser shall not be required to comply with any requirements related to a Registration Statement, policy, guideline, procedure or instruction of the Trust or Adviser nor any amendment to, or any requirements related to new policies, procedures or guidelines of the Trust or Adviser, unless Sub-Adviser is notified in writing and is given a reasonable amount of time to implement such requirements and such requirements do not cause Sub-Adviser to breach any legal, tax or regulatory requirement applicable to Sub-Adviser or the Fund.</w:t>
        <w:br/>
        <w:t>In addition, the Sub-Adviser is authorized to negotiate, execute and acknowledge (all as the case may be) brokerage contracts, futures account agreements, ISDA Master Agreements, derivatives agreements, equity prime brokerage agreements, risk disclosure and other agreements on behalf of the Fund with brokers, dealers, futures commission merchants, banks or other agents or counterparties (each, a “Broker”) and perform such functions as it considers reasonable, necessary or convenient in order to carry out the purposes of this Agreement. The Trust understands it and the Fund will be bound by the terms of agreements executed by the Sub-Adviser on a Fund’s behalf to the same extent as if the Trust or the Fund had executed such agreement directly. With respect to any futures or cleared swaps agreements entered into by the Sub-Adviser on behalf of the Fund’s account, a Broker is prohibited by applicable rules and regulations from limiting the Fund’s liabilities under futures and cleared swaps agreements entered into for the Fund to assets managed by the Sub-Adviser. The Broker has the right to apply margin held in the Fund’s account with the Broker to satisfy any margin deficiencies or financial obligations arising out of the Fund’s other futures or cleared swaps accounts maintained by such Broker (the “Broker Recourse Right”). Under most such agreements, a Broker is generally granted a lien on, and a right to set off against, any of the Fund assets held in other accounts of the Fund maintained by such Broker, if any, in order to satisfy any indebtedness arising out of the trading activity, and the Broker has the right to liquidate the Fund’s account in the event of a default. The Fund will remain liable for any amounts owed to Broker including any debit balances, losses or other amounts due as a result of the Sub-Adviser’s trading on the Fund’s behalf, including commissions. The Sub-Adviser may establish accounts in the name of the Fund and place orders for the execution of transactions in accordance with the Fund’s investment policies and objectives with or through any Broker that Sub-Adviser may select in its own discretion and without notice to the Adviser or the Fund. Such Brokers are authorized to act on instructions from the Sub-Adviser, including, but not limited to instructions with respect to transferring money, securities or other property between accounts held by such Broker or elsewhere on behalf of the Fund and to instruct the receipt or delivery of securities or property on behalf of the Fund. Brokers may rely on instructions from the Sub-Adviser until they have received written notice of the Adviser’s or Fund’s revocation, provided, however, that such revocation shall not be effective with respect to open positions or outstanding orders submitted by Sub-Adviser but not yet executed. In order to meet margin or collateral requirements for futures, forwards, other derivative instruments or prime brokerage agreements, the Sub-Adviser may direct payments of cash, cash equivalents, and securities and other property into segregated accounts or FCM accounts established hereunder as the Sub-Adviser deems desirable or appropriate, provided that Sub-Adviser’s actions are in accordance with the terms of this Agreement, the 1940 Act and the rules and regulations thereunder.</w:t>
        <w:br/>
        <w:t xml:space="preserve">  2</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Such list, and subsequent amendments thereto, shall be sent by Adviser via email to XXXXxxxxx.XxxxxxxxxxXxxxx@xxx.xxx, or as Sub-Adviser may direct in writing in the future. The Adviser will provide the Sub-Adviser with such amendments or supplements on a timely basis, and any such changes shall become effective upon receipt by the Sub-Adviser and shall be implemented by Sub-Adviser within a reasonably practicable period of time following such receipt in accordance with the requirements of this section.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in accordance with Sub-Adviser’s best execution policy,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its other clients and that the total commissions paid by the Fund will be reasonable in relation to the benefits to the Fund over the long term. The Fund or the Adviser will inform the Sub-Adviser that transactions effected through certain broker-dealers will help generate resources to pay the costs of certain expenses that the Trust is required to pay or for which the Trust is required to arrange payment (i.e., directed brokerage/commission recapture programs). The Sub-Adviser understands and agrees that the Fund prefers, subject to the Sub-Adviser’s duty to seek best execution and the Sub-Adviser’s sole discretion, that Sub-Adviser execute trades through those broker-dealers. For the avoidance of doubt, the Sub-Adviser shall be under no obligation to execute any trades through those broker-dealers.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3</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and will update such list from time to time, as necessary. The Adviser agrees that it will upon request provide Sub-Adviser with a written list of affiliates of the Trust’s affiliated persons (excluding the Fund’s sub-advisers) and principal underwriter, and their affiliated persons, so that Sub-Adviser is able to appropriately comply with the provisions of this section, and Adviser will update such list from time to time as necessary.</w:t>
        <w:br/>
        <w:t xml:space="preserve">  4</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shall comply with the confidentiality requirements of Section 14 hereof and shall not otherwise disclose confidential information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subject to Sub-Adviser’s limitation of liability as described in Section 8 of this Agreement; provided that it shall be the responsibility of the Sub-Adviser to notify the Adviser if the Custodian fails to confirm in writing proper execution of the instructions.</w:t>
        <w:br/>
        <w:t xml:space="preserve">  5</w:t>
        <w:br/>
        <w:t>(h)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upon reasonable request timely assist the Administrator and/or the Fund in determining the fair valuation of portfolio securities held in the Fund Account and will use its reasonable efforts to arrange for the provision of valuation information in response to such a request.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w:t>
        <w:br/>
        <w:t>(j)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regarding Sub-Adviser’s obligations hereunder on a timely basis. For the avoidance of doubt, the Sub-Adviser shall not be responsible for the preparation or filing of any reports required of a Fund or the Adviser by any governmental or regulatory agency, except as expressly agreed to in writing. The Sub-Adviser will prepare and cause to be filed in a timely manner Form 13F with respect to securities held for the Fund Account, and will list the Adviser (Form 13F File Number 028-10998) in its list of other institutional investment managers with respect to which the Sub-Adviser’s report is filed.</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 xml:space="preserve">  6</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as soon as reasonably practicable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as soon as reasonably practicable notify the Trust and the Adviser if the Sub-Adviser determines to opt out of a class action litigation or otherwise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 xml:space="preserve">  7</w:t>
        <w:br/>
        <w:t>5. Proxies. Unless the Adviser gives written instructions to the contrary,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material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All other expenses not specifically assumed by the Sub-Adviser hereunder are borne by the Trust or Adviser, including but not limited to, (a) interest and taxes; (b) brokerage commissions and other costs in connection with the purchase or sale of securities or other financial instruments for the Funds; and (c) custodian fees and expenses. The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 xml:space="preserve">  8</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or any breach of warranty, representation or agreement hereunder, except to the extent that such Losses arise as a result of the gross negligence, willful misfeasance or bad faith of the Sub-Adviser or the Sub-Adviser’s breach of duty or obligations hereunder.</w:t>
        <w:br/>
        <w:t>(b) The Trust shall indemnify the Sub-Adviser and any of its directors, officers, employees and affiliates for all Losses incurred by the Sub-Adviser by reason of or arising out of any act or omission by the Trust under this Agreement,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 xml:space="preserve">  9</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(x) of the occurrence of any event that would disqualify the Adviser from serving as an investment adviser of an investment company pursuant to Section 9(a) of the 1940 Act or otherwise, or (y) if any representation it has made under this Agreement becomes materially untrue.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 xml:space="preserve">  10</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as soon as reasonably practicable of any material compliance matters (as defined in Rule 38a-1 under the 1940 Act) relating directly to, or that could reasonably be expected to have a material impact on, the Sub-Adviser’s provision of services hereunder.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 it being understood that any such reports will have all personal employee information redacted.</w:t>
        <w:br/>
        <w:t>(d) The Sub-Adviser has provided the Trust and the Adviser with a copy of its Form ADV Part 2, which as of the date of this Agreement is its Form ADV Part 2 as most recently filed with the SEC and promptly will furnish a copy of any material amendments to the Trust and the Adviser at least annually.</w:t>
        <w:br/>
        <w:t>(e) The Sub-Adviser will notify the Trust and the Adviser of any change of control of the Sub-Adviser, i.e., any change of controlling persons or 25% shareholders, as applicable, and any changes in the key personnel who are named portfolio manager(s) of the Fund Account , in each case prior to such change if the Sub-Adviser is aware of such change but in any event not later than as soon as reasonably practicable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in writing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w:t>
        <w:br/>
        <w:t xml:space="preserve">  11</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reasonably practicable, of trade errors made by the Sub-Adviser in connection with its management of the Fund Account in accordance with the Sub-Adviser’s policy applicable to its registered investment company clients.</w:t>
        <w:br/>
        <w:t>(j) The Sub-Adviser and Trust (and the Sub-Adviser with respect to Section 12(j)(iii) below) each hereby acknowledge, represent and warrant, as applicable, that:</w:t>
        <w:br/>
        <w:t xml:space="preserve">    i.</w:t>
        <w:br/>
        <w:t>the Sub-Adviser intends to treat each Fund as an “exempt account” under Commodity Futures Trading Commission (“CFTC”) Regulation 4.7(c) under the CEA and needs to verify certain information in order for the Sub-Adviser to claim relief from the disclosure and certain recordkeeping provisions of the CEA. Accordingly, the Adviser and Trust each hereby represent that each Fund is a “qualified eligible person” under CFTC Regulation 4.7 (“Qualified Eligible Person”). The Adviser and Trust each agree to furnish the Sub-Adviser with such financial information as it may request to confirm a Fund’s status (or continuing status) as a Qualified Eligible Person and to inform the Sub-Adviser promptly if a Fund loses its status as a Qualified Eligible Person.</w:t>
        <w:br/>
        <w:t xml:space="preserve">    ii.</w:t>
        <w:br/>
        <w:t>each consents to each Fund being treated as an “exempt account” within the meaning of CFTC Regulation 4.7(c).</w:t>
        <w:br/>
        <w:t xml:space="preserve">    iii.</w:t>
        <w:br/>
        <w:t>with respect to each of the Sub-Adviser, Adviser, the Trust and each Fund (a) it is registered as required with the CFTC as a commodity pool operator, commodity trading advisor, futures commission merchant, introducing broker, retail foreign exchange dealer, swap dealer and/or major swap participant (and is a member of NFA), (b) it is excluded or exempt from such registration requirements and has made all required filings relating thereto, or (c) it is not required to be registered in any capacity with the CFTC or to be a member of NFA because it does not engage in any activity that comes within the definition of any of the registration categories in clause (a) of this section.</w:t>
        <w:br/>
        <w:t xml:space="preserve">  12</w:t>
        <w:br/>
        <w:t xml:space="preserve">  iv.</w:t>
        <w:br/>
        <w:t>each will provide Sub-Adviser with reasonable advance notification (in no event less than 30 days) of any decision by the Adviser or Trust to (a) register and operate as a commodity pool operator on behalf of a Fund, if Adviser or Trust had previously claimed an exclusion or exemption from registration as a commodity pool operator on behalf of such Fund, or (b) operate a Fund under an exclusion or exemption from registration with the CFTC, if the Adviser or Trust had registered as a commodity pool operator on behalf of such Fund.</w:t>
        <w:br/>
        <w:t xml:space="preserve">    v.</w:t>
        <w:br/>
        <w:t>Neither the Adviser, Trust nor the Funds, nor any person controlling, controlled by, or under common control with one or more of them, nor any person having a beneficial interest in one or more them, is (i) a person or entity whose name appears on the List of Specially Designated Nationals and Blocked Persons maintained by the U.S. Treasury Department’s Office of Foreign Assets Control, or (ii) a foreign shell bank (a bank without a physical presence in any country);</w:t>
        <w:br/>
        <w:t xml:space="preserve">    vi.</w:t>
        <w:br/>
        <w:t>Neither the Adviser, Trust nor the Funds, nor any person controlling, controlled by, or under common control with one or more of them, nor any person having a beneficial interest in one or more of them, is a senior foreign political figure1, or an immediate family member or close associate of a senior foreign political figure; and</w:t>
        <w:br/>
        <w:t xml:space="preserve">    vii.</w:t>
        <w:br/>
        <w:t>Neither the Adviser’s, Trust’s nor Funds’ assets were derived from illegal activities.</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Sub-Adviser determines has had a material impact on its operations and that requires the Sub-Adviser to implement procedures under such plan.</w:t>
        <w:br/>
        <w:t>(l) The Sub-Adviser has administrative, technical and physical safeguards in place that comply with all laws and regulations applicable to the Sub-Adviser and, in the event the Sub-Adviser becomes aware of any actual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will without unreasonable delay notify the Adviser and the Fund, unless such notice is prohibited by law enforcement or other regulatory authority.</w:t>
        <w:br/>
        <w:t xml:space="preserve">  1 </w:t>
        <w:br/>
        <w:t>A senior foreign political figure is a senior official in the executive, legislative, administrative, military, or judicial branches of a non-U.S. government (whether elected or not), a senior official of a major non-U.S. political party, or a senior executive of a non-U.S. government-owned corporation. In addition, a senior foreign political figure includes any corporation, business, or other entity that has been formed by, or for the benefit of, a senior foreign political figure.</w:t>
        <w:br/>
        <w:t xml:space="preserve">  13</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and service providers to Sub-Adviser that are subject to a duty of confidentiality and restrictions on use which includes a duty not to trade on such information. For the avoidance of doubt, all financial information, data and materials related to the investment strategy the Sub-Adviser provides to the Funds pursuant to this Agreement is considered the Sub-Adviser’s proprietary information and therefore protected as confidential under this Section 14.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 xml:space="preserve">  14</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without the prior written consent of the Sub-Adviser. Use of any symbol or logo of the Sub-Adviser will require the Sub-Adviser’s prior written consent.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15</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LLC5005 Xxxxxx X. Xxxxxxx Freeway, Suite 2200</w:t>
        <w:br/>
        <w:t>Dallas, Texas 75244-6152</w:t>
        <w:br/>
        <w:t>Attn: Xxxxxxx Xxxxxxxx, Vice President – Fund Operations</w:t>
        <w:br/>
        <w:t>Email: xxxxxxx.xxxxxxxx@xxxxxxxxxx.xxx</w:t>
        <w:br/>
        <w:t>All notices provided to the Sub-Adviser will be sent to:</w:t>
        <w:br/>
        <w:t>AQR Capital Management, LLC</w:t>
        <w:br/>
        <w:t>Two Greenwich Plaza, Third Floor</w:t>
        <w:br/>
        <w:t>Greenwich, Connecticut 06830</w:t>
        <w:br/>
        <w:t>Attn: Client Administration</w:t>
        <w:br/>
        <w:t>Email: XXXxxx@xxxxxxxxxx.xxx</w:t>
        <w:br/>
        <w:t xml:space="preserve">  16</w:t>
        <w:br/>
        <w:t>PURSUANT TO AN EXEMPTION FROM THE COMMODITY FUTURES TRADING COMMISSION IN CONNECTION WITH ACCOUNTS OF QUALIFIED ELIGIBLE PERSONS, THIS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ACCOUNT DOCUMENT.</w:t>
        <w:br/>
        <w:t>IN WITNESS WHEREOF, the parties hereto have caused this instrument to be executed by their duly authorized signatories as of April 30, 2021.2</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AQR CAPITAL MANAGEMENT, LLC</w:t>
        <w:br/>
        <w:t xml:space="preserve">By:  </w:t>
        <w:br/>
        <w:t xml:space="preserve">  Name:    </w:t>
        <w:br/>
        <w:t xml:space="preserve">Title:    </w:t>
        <w:br/>
        <w:t xml:space="preserve">  2 </w:t>
        <w:br/>
        <w:t>Original Agreement dated August 17, 2011, as amended for the Defensive Market Strategies Fund, October 31, 2013, as amended, for the Emerging Markets Equity Fund and February 28, 2008, as amended, for the International Equity Fund. Amended and Restated as of September 18, 2020.</w:t>
        <w:br/>
        <w:t>Amended and Restated April 30, 2021.</w:t>
        <w:br/>
        <w:t xml:space="preserve">  17</w:t>
        <w:br/>
        <w:t>AMENDMENT TO THE</w:t>
        <w:br/>
        <w:t>AMENDED AND RESTATED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AQR CAPITAL MANAGEMENT, LLC, a registered investment adviser organized under the laws of the State of Delaware (“Sub-Adviser”).</w:t>
        <w:br/>
        <w:t>WHEREAS, Sub-Adviser provides investment management services to the Trust pursuant to the Amended and Restated Sub-Advisory Agreement, dated as of April 30, 2021 (the “Agreement”); and</w:t>
        <w:br/>
        <w:t>WHEREAS, as of the date hereof, the Trust, the Adviser, and the Sub-Adviser wish to amend the Agreement to reflect that the Adviser, rather than the Sub-Adviser, will be responsible for proxy voting on behalf of the Trust; and</w:t>
        <w:br/>
        <w:t>WHEREAS, the Trust, the Adviser, and the Sub-Adviser also wish to amend the Agreement to update the address of the Sub-Adviser.</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The sub-section entitled “All notices provided to the Sub-Adviser will be sent to:” under Section 24 is hereby deleted in its entirety and replaced with the following:</w:t>
        <w:br/>
        <w:t>All notices provided to the Sub-Adviser will be sent to:</w:t>
        <w:br/>
        <w:t>AQR Capital Management, LLC</w:t>
        <w:br/>
        <w:t>Xxx Xxxxxxxxx Xxxxx, Xxxxx 000</w:t>
        <w:br/>
        <w:t>Greenwich, Connecticut 06830</w:t>
        <w:br/>
        <w:t>Attn: Client Administration</w:t>
        <w:br/>
        <w:t>Email: XXXxxx@xxxxxxxxxx.xxx</w:t>
        <w:br/>
        <w:t xml:space="preserve">    (c)</w:t>
        <w:br/>
        <w:t>Schedule B is hereby amended to delete “Proxy Voting Policies and Procedures” from the list of policies and procedures applicable to the Sub-Adviser.</w:t>
        <w:br/>
        <w:t xml:space="preserve">    (d)</w:t>
        <w:br/>
        <w:t>Schedule C is hereby amended to delete “Current proxy voting policy” from the reports to be provided by the Sub-Adviser.</w:t>
        <w:br/>
        <w:t>3. GOVERNING LAW. This Amendment shall be construed and the substantive provisions hereof interpreted under and in accordance with the laws of the State of Delaware.</w:t>
        <w:br/>
        <w:t xml:space="preserve">  18</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signature, or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IN WITNESS WHEREOF, the parties hereto have caused this Amendment to be executed by a duly authorized officer on one or more counterparts as of the date and year written above.</w:t>
        <w:br/>
        <w:t xml:space="preserve">  GUIDESTONE FUNDS</w:t>
        <w:br/>
        <w:t>By:</w:t>
        <w:br/>
        <w:t xml:space="preserve">    Name: Xxxxx X. Xxxxx</w:t>
        <w:br/>
        <w:t>Title: President</w:t>
        <w:br/>
        <w:t>GUIDESTONE CAPITAL MANAGEMENT, LLC</w:t>
        <w:br/>
        <w:t>By:</w:t>
        <w:br/>
        <w:t xml:space="preserve">    Name: Xxxxxxx Xxxxxxxx</w:t>
        <w:br/>
        <w:t>Title: Vice President – Investment Officer</w:t>
        <w:br/>
        <w:t>AQR CAPITAL MANAGEMENT, LLC</w:t>
        <w:br/>
        <w:t>By:</w:t>
        <w:br/>
        <w:t xml:space="preserve">    Name:</w:t>
        <w:br/>
        <w:t>Title:</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