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business trust (“Trust”), and GUIDESTONE CAPITAL MANAGEMENT, LLC (“Adviser”), a limited liability company organized under the laws of the State of Texas, and RBC GLOBAL ASSET MANAGEMENT (U.K.) LIMITED, a registered investment adviser organized under the laws of the United Kingdom (“Sub-Adviser”).</w:t>
        <w:br/>
        <w:t>WHEREAS, the Adviser has entered into an Investment Advisory Agreement (“Management Agreement”) with the Trust, an open-end management investment company registered under the Investment Company Act of 1940, as amended (“1940 Act”); and</w:t>
        <w:br/>
        <w:t>WHEREAS, the Emerging Markets Equity Fund (“Fund”) is a series of the Trust; and</w:t>
        <w:br/>
        <w:t>WHEREAS, under the Management Agreement, the Adviser has agreed to provide certain investment advisory services to the Fund; and</w:t>
        <w:br/>
        <w:t>WHEREAS, the Adviser is authorized under the Management Agreement to delegate certain of its investment advisory responsibilities to one or more persons or companies; and</w:t>
        <w:br/>
        <w:t>WHEREAS, the Board of Trustees of the Trust (“Board”) and the Adviser desire that the Adviser retain the Sub-Adviser to render investment advisory services for the portion of the Fund’s assets allocated to the Sub-Adviser, as determined from time to time by the Adviser,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Applicable Law. For the purposes of this Agreement, “Applicable Law” means statutes, laws, ordinances, rules, regulations, judgments, orders, decrees, permits, codes, licenses, guidelines, policies, rules of common law or any interpretation of any of the foregoing by any governmental authority in force and effect in the United Kingdom and the United States of America any other relevant jurisdiction to which the Sub-Adviser, Adviser, Trust and/or their Associates, as the case may be, are deemed to be subject to in relation to the performance of this Agreement or the transactions contemplated hereby, including without limitation any acts or proceedings to enforce the same.</w:t>
        <w:br/>
        <w:t>2. Appointment. The Adviser and the Trust hereby appoint and employ the Sub-Adviser as a discretionary portfolio manager, subject at all times to Applicable Law and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3. Acceptance of Appointment. The Sub-Adviser accepts that appointment and agrees to render the services herein set forth, for the compensation herein provided.</w:t>
        <w:br/>
        <w:t>4.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Sub-Adviser is authorized on behalf of the Fund Account to enter into and execute any documents required to effect transactions with respect to the Fund Account, provided that such transactions are in accord with the Registration Statement and with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once they have been received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 xml:space="preserve">  2</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it will seek to obtain the best net result in terms of price and execution, considering all of the circumstances, and shall maintain records adequate to demonstrate compliance with this requirement; provided that, on behalf of the Fund, and in compliance with Section 28(e) of the Securities Exchange Act of 1934, the Sub-Adviser may, in its discretion, use brokers (including brokers that may be affiliates of the Sub-Adviser to the extent permitted by Section 4(d) hereof) who provide the Sub-Adviser with research, analysis, advice and similar services to execute portfolio transactions, and the Sub-Adviser may pay to those brokers in return for brokerage and research services a higher commission than may be charged by other brokers, subject to the Sub-Adviser’s determining in good faith that such commission is reasonable in terms either of the particular transaction or of the overall responsibility of the Sub-Adviser to the Fund and its other clients and that the total commissions paid, excluding research, by the Fund will be reasonable in relation to the benefits to the Fund over the long term. Subject to seeking best execution, the Board or the Adviser may direct the Sub-Adviser to effect transactions in portfolio securities through broker-dealers in a manner that will help generate resources to pay the costs of certain expenses that the Trust is required to pay or for which the Trust is required to arrange payment. The Sub-Adviser agrees to provide the Adviser with reports or other information regarding brokerage and benefits received therefrom, excluding research, upon the Adviser’s reasonable request. In no instance will portfolio securities or other assets be purchased from or sold to the Sub-Adviser, any other investment sub-adviser that serves as sub-adviser to one or more series of the Trust, or any affiliated person thereof, except in accordance with the 1940 Act, the Investment Advisers Act of 1940, as amended (“Advisers Act”), and the rules under each, and all other federal and state laws or regulations applicable to the Trust and the Fund, or in accordance with an order of exemption received from the United States Securities and Exchange Commission (“SEC”).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believes to be equitable over time and consistent with its fiduciary obligations to each account.</w:t>
        <w:br/>
        <w:t>(d) Except as permitted by law or an exemptive order or rule of the SEC, and the Trust’s policies and procedures adopted thereunder, the Sub-Adviser agrees that it will not execute without the prior written approval of the Adviser any portfolio transactions for the Fund Account with a broker or dealer which is (i) an affiliated person of the Trust, the Adviser or any sub-adviser for any series of the Trust; (ii) a principal underwriter of the Trust’s shares; or (iii) an affiliated person of such an affiliated person or principal underwriter. The Adviser agrees that it will provide the Sub-Adviser with a written list of such brokers and dealers and will, from time to time, update such list as necessary. The Sub-Adviser agrees that it will provide the Adviser with a written list of brokers and dealers that are affiliates of the Sub-Adviser and will, from time to time, update such list as necessary.</w:t>
        <w:br/>
        <w:t>(e) In furnishing services hereunder, to the extent prohibited under,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and (iii) a successor sub-adviser of the Fund in order to effect an orderly transition of sub-advisory duties so long as such consultations do not concern transactions prohibited by Section 17(a) of the 1940 Act.</w:t>
        <w:br/>
        <w:t xml:space="preserve">  3</w:t>
        <w:br/>
        <w:t>(f) The Sub-Adviser will maintain all books and records required to be maintained pursuant to the 1940 Act and the rules and regulations promulgated thereunder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w:t>
        <w:br/>
        <w:t>(g) All transactions will be consummated by payment to or delivery by the custodian designated by the Trust (the “Custodian”), or such depositories or agents as may be designated by the Custodian in writing, of all cash and/or securities due to or from the Fund Account, and the Sub-Adviser shall not have possession or custody thereof.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instructions of the Sub-Adviser, and except that it shall be the responsibility of the Sub-Adviser to notify the Adviser if the Custodian fails to confirm in writing proper execution of the instructions.</w:t>
        <w:br/>
        <w:t>(h) The Sub-Adviser agrees to provide, at such times as shall be reasonably requested by the Board or the Adviser, the analysis and reports specified on Schedule A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(i) In accordance with procedures adopted by the Board, as amended from time to time, and upon reasonable request the Sub-Adviser will assist the Administrator and/or the Fund in determining the fair valuation of all portfolio securities held in the Fund Account and will use its reasonable efforts to arrange for the provision of valuation information or a price(s) for each portfolio security held in the Fund Account for which the Administrator is not able to obtain prices for in its ordinary course of business. The Sub-Adviser shall promptly notify the Adviser if, for any reason, the Sub-Adviser believes that the price of any security or other investment in the Fund Account may not accurately reflect the value thereof. The Sub-Adviser will maintain records with respect to securities valuation information provided hereunder, and shall provide such information to the Adviser upon request. For the avoidance of doubt, records of the Custodian shall be deemed to be the Fund’s official records.</w:t>
        <w:br/>
        <w:t xml:space="preserve">  4</w:t>
        <w:br/>
        <w:t>(j)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or the Sub-Adviser and other documents provided to the Sub-Adviser, provide comments on such drafts on a timely basis, and provide certifications or sub-certifications on a timely basis as to the accuracy of the information contained in such reports or other documents. The Sub-Adviser will prepare and cause to be filed in a timely manner Form 13F and, if required, Schedule 13G with respect to securities held for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and the rules and regulations promulgated by the SEC thereunder, and Rule 38a-1 of the 1940 Act. Specifically, the Sub-Adviser agrees to (a) certify periodically, upon the reasonable request of the Trust, that with respect to the Fund Account and the Sub-Adviser’s provision of portfolio management services hereunder, it is in compliance with all applicable “federal securities laws”, as required by Rule 38a-l under the 1940 Act, and Rule 206(4)-7 under the Advisers Act; (b) upon request and reasonable prior notice, cooperate with third-party audits arranged by the Trust to evaluate the effectiveness of the Trust’s compliance controls; (c) upon request and reasonable prior notice, provide the Trust’s chief compliance officer with direct access to its chief compliance officer (or his/her designee); (d) upon request, provide the Trust’s chief compliance officer with periodic reports; and (e) promptly provide notice of any material compliance matters that relate to, or could reasonably be expected to have an impact on, the Fund Account, Fund, Trust or the performance of the Sub-Adviser’s duties under this Agreement.</w:t>
        <w:br/>
        <w:t>(l) The Sub-Adviser will not be responsible for making any class action filings, including bankruptcies, on behalf of the Fund Account. The Sub-Adviser shall promptly provide the Trust and the Adviser with any information it receives regarding class action claims or any other legal matters involving any asset held in the Fund Account and shall cooperate with the Trust and the Adviser to the extent necessary for the Trust or the Adviser to pursue and/or participate in any such action. The Sub-Adviser will also promptly notify the Trust and the Adviser if the Sub-Adviser determines to opt out of a class action litigation or otherwise commence an independent litigation (domestic or foreign) for securities held or previously held in Sub-Adviser’s proprietary accounts that are also held or were previously held by the Fund Account.</w:t>
        <w:br/>
        <w:t>5.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under each; (ii) the requirements of Subchapter M of the Internal Revenue Code of 1986, as amended, applicable to regulated investment companies; (iii) the Commodity Exchange Act, as amended, and the rules and regulations adopted thereunder from time to time;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 as soon as practicable after such materials become available.</w:t>
        <w:br/>
        <w:t xml:space="preserve">  5</w:t>
        <w:br/>
        <w:t>6. Proxies. Unless the Adviser gives written instructions to the contrary, provided the Custodian has timely forwarded the relevant proxy materials, the Sub-Adviser will vote all proxies solicited by or with respect to the issuers of securities in which assets of the Fund Account may be invested from time to time. The Adviser shall instruct the Custodian to forward or cause to be forwarded to the Sub-Adviser (or its designated agent) all relevant proxy solicitation materials.</w:t>
        <w:br/>
        <w:t>7. Expenses. During the term of this Agreement, the Sub-Adviser will bear all expenses incurred by it in connection with its services under this Agreement other than the cost of securities (including brokerage commissions, transactional fees and taxes, if any) purchased for the Fund. The Fund shall be responsible for its expenses.</w:t>
        <w:br/>
        <w:t>8. Compensation. The compensation of the Sub-Adviser for its services under this Agreement shall be calculated daily and paid monthly, within eight business days after month end under normal conditions, by the Trust, and not the Adviser, in accordance with the attached Schedule B. The Sub-Adviser shall not be responsible for any expenses incurred by the Fund or the Trust.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and shall provide the Sub-Adviser with such monthly calculations used to compute such compensation within eight business days after month end under normal conditions.</w:t>
        <w:br/>
        <w:t>9.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or breach of its duties or obligations hereunder, whether express or implied. Nothing in this paragraph shall be deemed a limitation or waiver of any obligation or duty that may not by law be limited or waived.</w:t>
        <w:br/>
        <w:t>10. Indemnification.</w:t>
        <w:br/>
        <w:t>(a) The Adviser shall indemnify the Sub-Adviser or any of its directors, officers, employees or affiliates for all losses, damages, liabilities, costs and expenses (including reasonable attorneys’ fees) (“Losses”) incurred by the Sub-Adviser by reason of or arising out of any act or omission by the Adviser under this Agreement, if such act or omission involves the gross negligence, willful misfeasance, bad faith or breach of fiduciary duty of the Adviser, or any breach of warranty, representation or agreement hereunder, except to the extent that such Losses arise as a result of the gross negligence, willful misfeasance or bad faith of the Sub-Adviser or the Sub-Adviser’s breach of fiduciary duty to the Adviser.</w:t>
        <w:br/>
        <w:t xml:space="preserve">  6</w:t>
        <w:br/>
        <w:t>(b) The Trust shall indemnify the Sub-Adviser or any of its directors, officers, employees or affiliates for all losses, damages, liabilities, costs and expenses (including reasonable attorneys’ fees) (“Losses”) incurred by the Sub-Adviser by reason of or arising out of any act or omission by the Trust under this Agreement, if such act or omission involves the gross negligence, willful misfeasance, bad faith or breach of fiduciary duty of the Trust, or any breach of warranty, representation or agreement hereunder, except to the extent that such Losses arise as a result of the gross negligence, willful misfeasance or bad faith of the Sub-Adviser or the Sub-Adviser’s breach of fiduciary duty to the Trust.</w:t>
        <w:br/>
        <w:t>(c) The Sub-Adviser shall indemnify the Adviser or any of its directors, officers, employees or affiliates for all losses, damages, liabilities, costs and expenses (including reasonable attorneys’ fees)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breach of fiduciary duty to the Sub-Adviser.</w:t>
        <w:br/>
        <w:t>(d) The Sub-Adviser shall indemnify the Trust or any of its trustees, officers, employees or affiliates for all losses, damages, liabilities, costs and expenses (including reasonable attorneys’ fees)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breach of fiduciary duty to the Sub-Adviser.</w:t>
        <w:br/>
        <w:t>(e) The indemnification in this Section 10 shall survive the termination of this Agreement.</w:t>
        <w:br/>
        <w:t>11. Representations, Warranties and Agreements of the Trust. The Trust represents, warrants and agrees that:</w:t>
        <w:br/>
        <w:t>(a) The Adviser and the Sub-Adviser each has been duly appointed by the Board in accordance with the terms of the Trust to provide investment services to the Fund Account as contemplated hereby.</w:t>
        <w:br/>
        <w:t>(b) The Trust will cause the Adviser to deliver to the Sub-Adviser a true and complete copy of the Fund’s Registration Statement as effective from time to time, and such other documents or instruments governing the investment of the Fund Account as is necessary for the Sub-Adviser to carry out its obligations under this Agreement and such other information as is reasonably requested by the Sub-Adviser.</w:t>
        <w:br/>
        <w:t xml:space="preserve">  7</w:t>
        <w:br/>
        <w:t>12.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an investment adviser of an investment company pursuant to Section 9(a) of the 1940 Act or otherwise.</w:t>
        <w:br/>
        <w:t>13.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Trust and Adviser of the occurrence of any event that could reasonably have a materially adverse impact on the Sub-Adviser’s ability to provide services under this Agreement or would disqualify the Sub-Adviser from serving as an investment adviser of an investment company pursuant to Section 9(a) of the 1940 Act or otherwise. Subject to Applicable Law, the Sub-Adviser will also immediately notify the Trust and the Adviser if it is served or otherwise receives notice of any action, suit, proceeding, inquiry or investigation, at law or in equity, or any threat thereof, before or by any court, public board or body, directly involving the affairs of the Fund.</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amendments thereto.</w:t>
        <w:br/>
        <w:t xml:space="preserve">  8</w:t>
        <w:br/>
        <w:t>(c) The Sub-Adviser has adopted a written code of ethics complying with the requirements of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 promptly report to the Board in writing any material amendments to its code of ethics; (ii) immediately furnish to the Board all information regarding any material violation of the code of ethics by any person who would be considered an Access Person as defined in the Trust’s and Adviser’s code of ethics, if such person were not subject to the Sub-Adviser’s code of ethics; and (iii)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17j-1(c)(1) and all other records relevant to the Sub-Adviser’s code of ethics.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significant developments affecting the Sub-Adviser, as required by the Advisers Act.</w:t>
        <w:br/>
        <w:t>(e) The Sub-Adviser will notify the Trust and the Adviser of any change of control of the Sub-Adviser, including any change of its general partners,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promptly after such change. The Sub-Adviser agrees to bear all reasonable expenses of the Trust and Adviser, if any, arising out of such change. (f) The Sub-Adviser agrees to maintain an appropriate level of errors and omissions or professional liability insurance coverage equal to not less than $5,000,000.</w:t>
        <w:br/>
        <w:t>(g) The Sub-Adviser will not, in violation of applicable law or regulation, use any material, non-public information concerning portfolio companies that may be in or come into its possession or the possession of any of its affiliates or employees in providing investment advice or investment management services to the Fund.</w:t>
        <w:br/>
        <w:t>(h) The Sub-Adviser agrees that neither it, nor any of its affiliates, will in any way refer directly or indirectly to its relationship with the Trust, the Fund, the Adviser or any of their respective affiliates in offering, marketing or other promotional materials without the express written consent of the Adviser. Notwithstanding the preceding sentence, the Sub-Adviser may (i) disclose its relationship with the Trust, Fund or Adviser in client lists without prior written consent of the Adviser; and (ii) use the performance of the Fund Account in its composite performance.</w:t>
        <w:br/>
        <w:t>14.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 xml:space="preserve">  9</w:t>
        <w:br/>
        <w:t>15. Confidentiality. Subject to the duty of the parties to comply with Applicable Law, including any demand of any regulatory or taxing authority having jurisdiction:</w:t>
        <w:br/>
        <w:t>(a) the parties hereto shall treat as confidential all material non-public information pertaining to the Fund Account and the actions of the Sub-Adviser, the Adviser and the Trust in respect thereof;</w:t>
        <w:br/>
        <w:t>(b) the Adviser consents to the Sub-Adviser transferring information relating to the Fund to an affiliate of the Sub-Adviser that provides certain back office systems and support for the Sub-Adviser including trade settlement, reporting and proxy voting administration; and</w:t>
        <w:br/>
        <w:t>(c) the Adviser agrees that the Sub-Adviser may use Royal Bank of Canada centralised systems and/or systems resources, consultants or contractors in other countries such as Canada or the United States of America. The use of such centralised systems allows for certain efficiencies including operating and managing systems, record keeping, systems back-up and data recovery, risk evaluations, KYC, and anti-money laundering screening. This may result in confidential information being transmitted through or stored or processed in another jurisdiction, provided that the Sub-Adviser shall ensure that any such affiliate keeps such information confidential and will only disclose the confidential information beyond Royal Bank of Canada employees, consultants or contractors if and when required to disclose by law or regulation, when it is requested by regulatory or fiscal authorities or courts of competent jurisdiction, or when it is necessary to disclose to their advisors.</w:t>
        <w:br/>
        <w:t>16. Authorized Representatives of the Adviser. The Sub-Adviser is expressly authorized to rely upon any and all instructions, approvals and notices given on behalf of the Adviser by any one or more of those persons designated as representatives of the Adviser whose names, titles and specimen signatures appear in Schedule C attached hereto. The Adviser may amend such Schedule C from time to time by written notice to the Sub-Adviser. The Sub-Adviser shall continue to rely upon these instructions until notified by the Adviser to the contrary.</w:t>
        <w:br/>
        <w:t>17. Duration and Termination.</w:t>
        <w:br/>
        <w:t>(a) Unless terminated as provided herein, this Agreement shall continue in effect for a period of two years subsequent to its initial approval, and thereafter, if not terminated, shall continue automatically from year to year, provided that such continuance is specifically approved annually in accordance with the 1940 Act: (i) by a vote of a majority of those Trustees of the Trust who are not “interested persons” of the Trust, as defined within the meaning of Section 2(a)(19) of the 1940 Act, cast in person at a meeting called for the purpose of voting on such approval, and (ii) by the Board or by vote of a majority of the outstanding voting securities of the Fund, unless any requirement for a vote of the outstanding voting securities of the Fund is rendered inapplicable by an order of exemption from the SEC.</w:t>
        <w:br/>
        <w:t>(b) Notwithstanding the foregoing, this Agreement may be terminated by any party hereto at any time, without the payment of any penalty, immediately upon written notice to the other party, but any such termination shall not affect the status, obligations, or liabilities of any party hereto to the other arising prior to termination. This Agreement will terminate automatically in the event of its assignment or upon termination of the Management Agreement as it relates to the Fund. The Sub-Adviser agrees to bear all reasonable expenses of the Trust, if any, arising out of an assignment of this Agreement where and only where termination occurs as a result of assignment by the Sub-Adviser.</w:t>
        <w:br/>
        <w:t xml:space="preserve">  10</w:t>
        <w:br/>
        <w:t>18. Amendment of this Agreement. No provision of this Agreement may be changed, waived, discharged or terminated orally. Amendment may only be by an instrument in writing signed by both parties.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Trust receives an SEC order or no-action letter permitting it to modify the Agreement without such vote or a regulation exists under the 1940 Act that permits such action without such vote).</w:t>
        <w:br/>
        <w:t>19.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20.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21. Reference to the Sub-Adviser. The Adviser and the Trust are authorized to publish and distribute usual and customary information, including, but not limited, to registration statements, fund fact sheets and marketing material, regarding the provision of sub-advisory services by the Sub-Adviser pursuant to this Agreement and to include in such information the name of the Sub-Adviser. Should the Adviser or Trust wish to use any trademark, service mark, symbol or logo of the Sub-Adviser, it will be required to enter into a separate license agreement with the Sub-Adviser’s parent company, the Royal Bank of Canada. The Adviser will provide copies of such items to the Sub-Adviser upon request within a reasonable time following such use, publication or distribution.</w:t>
        <w:br/>
        <w:t>22.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 xml:space="preserve">  11</w:t>
        <w:br/>
        <w:t>23. Severability. If any provision of this Agreement is held or made invalid by a court decision, statute, rule or otherwise, the remainder of this Agreement shall not be affected thereby.</w:t>
        <w:br/>
        <w:t>24.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25.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facsimile or email) or a similar means of same day delivery which provides evidence of receipt (or with a confirming copy by mail as set forth herein). All notices provided to Adviser will be sent to the attention of Xxxxxxx Xxxxxxxx. All notices provided to the Sub-Adviser will be sent to the attention of Xxxxxxxx Day.</w:t>
        <w:br/>
        <w:t>26. Complaints. The Sub-Adviser has established procedures for the effective consideration of complaints by the Adviser. All formal complaints should in the first instance be made in writing to the Sub-Adviser by the following means:</w:t>
        <w:br/>
        <w:t>If by email, to: xxxxxxxxxxxxxxx@xxx.xxx</w:t>
        <w:br/>
        <w:t>If by post, to: Client Services (Xxxxx Xxxxxx)</w:t>
        <w:br/>
        <w:t>RBC Global Asset Management (UK) Limited</w:t>
        <w:br/>
        <w:t>00 Xxxxxxxxx Xxxxxx</w:t>
        <w:br/>
        <w:t>London</w:t>
        <w:br/>
        <w:t>W1K 3BF</w:t>
        <w:br/>
        <w:t>[rest of page left intentionally blank]</w:t>
        <w:br/>
        <w:t xml:space="preserve">  12</w:t>
        <w:br/>
        <w:t>IN WITNESS WHEREOF, the parties hereto have caused this instrument to be executed by their duly authorized signatories as of September 30, 2019.1</w:t>
        <w:br/>
        <w:t xml:space="preserve">        GUIDESTONE FUNDS – EMERGING MARKETS EQUITY FUND</w:t>
        <w:br/>
        <w:t xml:space="preserve">      5005 Xxxxxx X. Xxxxxxx Freeway</w:t>
        <w:br/>
        <w:t xml:space="preserve">      Suite 2200</w:t>
        <w:br/>
        <w:t xml:space="preserve">      Dallas, Texas 75244-6152</w:t>
        <w:br/>
        <w:t xml:space="preserve">Attest      </w:t>
        <w:br/>
        <w:t xml:space="preserve">By:  </w:t>
        <w:br/>
        <w:t xml:space="preserve">      By:  </w:t>
        <w:br/>
        <w:t xml:space="preserve">  Name:   Xxxxxxx Xxxxxxxx     Name:   Xxxx X. Xxxxx</w:t>
        <w:br/>
        <w:t>Title:   Vice President – Fund Operations     Title:   President</w:t>
        <w:br/>
        <w:t xml:space="preserve">      GUIDESTONE CAPITAL MANAGEMENT, LLC</w:t>
        <w:br/>
        <w:t xml:space="preserve">      5005 Xxxxxx X. Xxxxxxx Freeway</w:t>
        <w:br/>
        <w:t xml:space="preserve">      Suite 2200</w:t>
        <w:br/>
        <w:t xml:space="preserve">      Dallas, Texas 75244-6152</w:t>
        <w:br/>
        <w:t xml:space="preserve">Attest        </w:t>
        <w:br/>
        <w:t xml:space="preserve">By:  </w:t>
        <w:br/>
        <w:t xml:space="preserve">      By:  </w:t>
        <w:br/>
        <w:t xml:space="preserve">  Name:   Xxxx X. Xxxxx     Name:   Xxxxx X. Xxxxx</w:t>
        <w:br/>
        <w:t>Title:   Vice President and Chief Investment Officer     Title:   President</w:t>
        <w:br/>
        <w:t xml:space="preserve">      RBC GLOBAL ASSET MANAGEMENT (U.K.) LIMITED</w:t>
        <w:br/>
        <w:t xml:space="preserve">      00 Xxxxxxxxx Xxxxxx</w:t>
        <w:br/>
        <w:t xml:space="preserve">      2nd Floor</w:t>
        <w:br/>
        <w:t xml:space="preserve">      London W1K 3JR</w:t>
        <w:br/>
        <w:t xml:space="preserve">      United Kingdom</w:t>
        <w:br/>
        <w:t xml:space="preserve">Attest        </w:t>
        <w:br/>
        <w:t xml:space="preserve">By:  </w:t>
        <w:br/>
        <w:t xml:space="preserve">      By:  </w:t>
        <w:br/>
        <w:t xml:space="preserve">  Name:  </w:t>
        <w:br/>
        <w:t xml:space="preserve">      Name:  </w:t>
        <w:br/>
        <w:t xml:space="preserve">  Title:  </w:t>
        <w:br/>
        <w:t xml:space="preserve">      Title:  </w:t>
        <w:br/>
        <w:t xml:space="preserve">    1 </w:t>
        <w:br/>
        <w:t>Original Agreement dated September 30, 2019.</w:t>
        <w:br/>
        <w:t xml:space="preserve">  13</w:t>
        <w:br/>
        <w:t>AMENDMENT TO THE SUB-ADVISORY AGREEMENT</w:t>
        <w:br/>
        <w:t>THIS AMENDMENT to the Amended and Restated Sub-Advisory Agreement is entered into as of July 1, 2023 (this “Amendment”) by and among GUIDESTONE FUNDS, a Delaware statutory trust (the “Trust”), GUIDESTONE CAPITAL MANAGEMENT, LLC, a limited liability company organized under the laws of the State of Texas (the “Adviser”) and RBC GLOBAL ASSET MANAGEMENT (U.K.) LIMITED, a registered investment adviser organized under the laws of the United Kingdom (“Sub-Adviser”).</w:t>
        <w:br/>
        <w:t>WHEREAS, Sub-Adviser provides investment management services to the Trust pursuant to the Sub-Advisory Agreement, dated as of September 30, 2019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 xml:space="preserve">  2.</w:t>
        <w:br/>
        <w:t>AMENDMENTS.</w:t>
        <w:br/>
        <w:t xml:space="preserve">    (a)</w:t>
        <w:br/>
        <w:t>Section 6 of the Agreement is hereby deleted in its entirety and replaced with the following:</w:t>
        <w:br/>
        <w:t>Proxies. The Sub-Adviser shall not vote proxies on behalf of the Trust.</w:t>
        <w:br/>
        <w:t xml:space="preserve">    (b)</w:t>
        <w:br/>
        <w:t>Section 15(b) of the Agreement is hereby deleted in its entirety and replaced with the following:</w:t>
        <w:br/>
        <w:t>(b) the Adviser consents to the Sub-Adviser transferring information related to the Fund to an affiliate of the Sub-Adviser that provides certain back office systems and support for the Sub-Adviser including trade settlement and reporting; and</w:t>
        <w:br/>
        <w:t xml:space="preserve">    (c)</w:t>
        <w:br/>
        <w:t>Schedule A is hereby amended to delete “Updated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 xml:space="preserve">  14</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IN WITNESS WHEREOF, the parties hereto have caused this Amendment to be executed by a duly authorized officer on one or more counterparts as of the date and year written above.</w:t>
        <w:br/>
        <w:t xml:space="preserve">  GUIDESTONE FUNDS</w:t>
        <w:br/>
        <w:t xml:space="preserve">By:  </w:t>
        <w:br/>
        <w:t xml:space="preserve">  Name:   Xxxxx X. Xxxxx</w:t>
        <w:br/>
        <w:t>Title:   President</w:t>
        <w:br/>
        <w:t>GUIDESTONE CAPITAL MANAGEMENT, LLC</w:t>
        <w:br/>
        <w:t xml:space="preserve">By:  </w:t>
        <w:br/>
        <w:t xml:space="preserve">  Name:   Xxxxxxx Xxxxxxxx</w:t>
        <w:br/>
        <w:t>Title:   Vice President – Investment Officer</w:t>
        <w:br/>
        <w:t>RBC GLOBAL ASSET MANAGEMENT (U.K.) LIMITED</w:t>
        <w:br/>
        <w:t xml:space="preserve">By:  </w:t>
        <w:br/>
        <w:t xml:space="preserve">  Name:  </w:t>
        <w:br/>
        <w:t xml:space="preserve">Title:  </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