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SUB-ADVISORY AGREEMENT</w:t>
        <w:br/>
        <w:t>THIS AMENDED AND RESTATED SUB-ADVISORY AGREEMENT (“Agreement”) is made among GUIDESTONE FUNDS, a Delaware statutory trust (“Trust”), GUIDESTONE CAPITAL MANAGEMENT, LLC, a limited liability company organized under the laws of the State of Texas (“Adviser”), and PARAMETRIC PORTFOLIO ASSOCIATES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has retained the Sub-Adviser to furnish investment advisory services on behalf of the series of the Trust listed on Schedule A;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WHEREAS, the Trust, Adviser and Sub-Adviser previously entered into a Sub-Advisory Agreement dated March 1, 2021 (“Original Agreement”);</w:t>
        <w:br/>
        <w:t>WHEREAS, the Trust, Adviser and Sub-Adviser agree the Original Agreement is terminated in its entirety and replaced by this Agreement as of the effective date of this Agreement;</w:t>
        <w:br/>
        <w:t>NOW, THEREFORE, in consideration of the premises and mutual covenants herein contained, the Trust, the Adviser and the Sub-Adviser agree as follows:</w:t>
        <w:br/>
        <w:t>1. Appointment. The Adviser and the Trust hereby appoint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(i) opening (or amending) any accounts, including prime brokerage and futures accounts with brokerage firms or other financial institutions and (ii) entering into (or amending)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and any pertinent terms of the account opening documents, prime brokerage, futures and other related agreements, OTC Agreements, and related clearing agreements. With respect to transactions involving derivative instruments and/or OTC Agreements, the Sub-Adviser agrees to provide Counterparty reports of the type described in Section 3(i). For purposes of this section, the term “Counterparty” includes a clearing broker, prime broker, dealer, foreign currency dealer, futures commission merchant, bank, or any counterparty to an OTC Agreement.</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and/or futures commission merchants (“FCMs”),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to the extent such instructions constitute willful misfeasance, bad faith or gross negligence, or breach of the Sub-Adviser’s duties or obligations hereunder.</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and any information related to any corporate action relevant to the investments of the Fund Account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immediately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and a daily reconciliation of all open Counterparty-Traded Positions (as defined below) to the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without limitation by arranging for access by the Fund’s Custodian and Administrator to such files and websites of the executing brokers and Counterparties. The Sub-Adviser shall work with the Fund’s Custodian and Administrator and/or the Adviser, as appropriate, to resolve all open reconciliation items on the same day that they are identified, including trade and position discrepancies, identified in such reconciliations. For purposes of this Section 3(j),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In accordance with procedures adopted by the Board, as amended from time to time, the Sub-Adviser will assist, at the request of the Administrator and/or the Fund in determining or confirming the fair valuation of portfolio securities held in the Fund Account. This assistance includes (but is not limited to): (i) providing access to one or more employees of the Sub-Adviser who are knowledgeable about the security or other asset or liability, its issuer or Counterparty (as applicable), its financial condition, trading and/or other relevant factors for valuation, which employees shall be available for consultation when the Board or the Valuation Committee of the Adviser convenes; (ii) assisting the Board, Adviser, the Custodian or the Administrator in obtaining bids and offers or quotes from broker-dealers or market-makers with respect to investments held in the Fund Account, upon the reasonable request of the Adviser, Custodian or Administrator; (iii) upon the request of the Board, Adviser, the Custodian or the Administrator, providing recommendations for pricing and fair valuations (including the methodology and rationale used in making such recommendation and such other relevant information as may be requested) of any portfolio security held in the Fund Account for which the Administrator does not obtain prices in the ordinary course of business from an automated pricing service; and (iv) maintaining adequate records and written backup information with respect to the investments valuation assistance provided hereunder, and providing such information to the Board, Adviser or the Fund upon request. Additionally, the Sub-Adviser shall be responsible for obtaining valuations for derivative instruments from Counterparties and for providing that information (and any valuation determinations made by the Sub-Adviser) to the Fund’s Administrator and the Adviser for their consideration as the Administrator or Adviser may specify. The Sub-Adviser shall promptly notify the Adviser if, for any reason, the Sub-Adviser believes that the price assigned to any security or other investment in the Fund Account that is not readily ascertainable may not accurately reflect the fair value thereof. Notwithstanding the foregoing, the Adviser and the Trust hereby acknowledge that the Sub-Adviser is not the pricing agent for the Fund and therefore not responsible for valuing the Fund’s securities for purposes of calculating the Fund’s net asset value. The Adviser and the Trust also hereby acknowledges that any pricing support provided by the Sub-Adviser is in good faith and the Sub-Adviser is not responsible for verifying that the price is appropriate.</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3(o), it will provide the Adviser and the Fund with 30 days’ prior written notice, which will include the identity of the affiliated person and such other information reasonably requested by the Adviser or the Fund.</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CEA and the rules and regulations adopted thereunder; and (iii)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Trust and the Adviser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Trust and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material disruption to operating systems including trading functions or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or (iii) the need to provide information to a third party to provide the services described in this Agreement, where such third party is subject to an obligation of confidentiality with respect to such information,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and Fund fact sheets, regarding the provision of sub-advisory services by the Sub-Adviser, without the prior written consent of the Sub-Adviser. In addition the Adviser and the Trust may publish and distributed these and other marketing materials regarding the provision of sub-advisory services by the Sub-Adviser pursuant to this Agreement and to include in such materials the name and any trademark, service mark, symbol or logo of the Sub-Adviser, provided that the Adviser and the Trust shall obtain the prior written consent of the Sub-Adviser to any such materials to be published or otherwise distributed; Sub-Adviser shall not unreasonably withhold consent to such materials, and shall be deemed to have consented to such materials if it does not provide a written notice of objection within five (5) business days of receipt.</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 and Secretary</w:t>
        <w:br/>
        <w:t>Email: xxxxxxx.xxxxxxxx@xxxxxxxxxx.xxx</w:t>
        <w:br/>
        <w:t>All notices provided to the Sub-Adviser will be sent to:</w:t>
        <w:br/>
        <w:t>Parametric Portfolio Associates LLC</w:t>
        <w:br/>
        <w:t>0000 Xxxxxxxxx Xxxxx, Xxxxx 000</w:t>
        <w:br/>
        <w:t>Minneapolis, Minnesota 55435</w:t>
        <w:br/>
        <w:t>Attn: Chief Investment Officer</w:t>
        <w:br/>
        <w:t>Email: XxxxxXxxxx@xxxxxxxx.xxx</w:t>
        <w:br/>
        <w:t>[rest of page left intentionally blank]</w:t>
        <w:br/>
        <w:t>IN WITNESS WHEREOF, the parties hereto have caused this instrument to be executed by their duly authorized signatories as of January 27, 2023.1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 and Chief Investment Officer</w:t>
        <w:br/>
        <w:t>PARAMETRIC PORTFOLIO ASSOCIATES LLC</w:t>
        <w:br/>
        <w:t xml:space="preserve">By:    </w:t>
        <w:br/>
        <w:t>Name:   Xxxxxx Xxx</w:t>
        <w:br/>
        <w:t>Title:   Chief Investment Officer</w:t>
        <w:br/>
        <w:t xml:space="preserve">    1 </w:t>
        <w:br/>
        <w:t>Original Agreement dated as of the effective date of this Agreement pursuant to Section 15(a) hereof.</w:t>
        <w:br/>
        <w:t>Amended and Restated as of January 27, 2023.</w:t>
        <w:br/>
        <w:t>AMENDMENT TO THE</w:t>
        <w:br/>
        <w:t>AMENDED AND RESTATED SUB-ADVISORY AGREEMENT</w:t>
        <w:br/>
        <w:t>THIS AMENDMENT to the Amended and Restated Sub-Advisory Agreement is entered into as of July 1, 2023 (this “Amendment”) by and among GUIDESTONE FUNDS, a Delaware statutory trust (the “Trust”), GUIDESTONE CAPITAL MANAGEMENT, LLC, a limited liability company organized under the laws of the State of Texas (the “Adviser”) and PARAMETRIC PORTFOLIO ASSOCIATES LLC, a registered investment adviser organized under the laws of the State of Delaware (“Sub-Adviser”).</w:t>
        <w:br/>
        <w:t>WHEREAS, Sub-Adviser provides investment management services to the Trust pursuant to the Sub-Advisory Agreement, amended and restated as of January 27, 2023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from the list of policies and procedures applicable to the Sub-Adviser.</w:t>
        <w:br/>
        <w:t xml:space="preserve">    (c)</w:t>
        <w:br/>
        <w:t>Schedule C is hereby amended to delete “Proxy Voting Report (equity sub-advisers only)” and “Current Proxy Voting Policies and Procedures”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IN WITNESS WHEREOF, the parties hereto have caused this Amendment to be executed by a duly authorized officer on one or more counterparts as of the date and year writtenabove.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PARAMETRIC PORTFOLIO ASSOCIATES LLC</w:t>
        <w:br/>
        <w:t xml:space="preserve">By:    </w:t>
        <w:br/>
        <w:t>Name:   Xxxxxx Xxx</w:t>
        <w:br/>
        <w:t>Title:   Chief Investment Officer</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