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Pacific Investment Management Company LLC, a registered investment adviser organized under the laws of the State of Delaware (“Sub-Adviser” or “PIMCO”).</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the investment advisory services set forth in this Agreement on behalf of the series of the Trust listed on Schedule A, as such Schedule A may be amended from time to time (each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Fund assets each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shall have no responsibility under this Agreement with respect to the management of assets of the Fund other than the Fund Account.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(the “Investment Guidelines”) and the description of its investment strategy and style, all as stated in the Trust’s registration statement under the 1940 Act, and any amendments or supplements thereto (“Registration Statement”) of which the Sub-Adviser has received written notice. The Sub-Adviser is authorized on behalf of the Fund (and specifically with respect to the Fund Account) to: (i) enter into agreements and execute any documents (e.g., any derivatives documentation such as exchange traded and over-the-counter agreements, as applicable) required to effect transactions with respect to the Fund Account, which shall include any market and/or industry standard documentation and the standard representations contained therein; and (ii) acknowledge the receipt of brokers’ risk disclosure statements, electronic trading disclosure statements and similar disclosures on behalf of the Fund, provided that such transactions are in accordance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and communicated to Sub-Adviser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The Adviser acknowledges that unless and until such information has been provided to the Sub-Adviser, the Sub-Adviser is under no obligation to refrain from acquiring any such security on behalf of the Fund Account. Notwithstanding the foregoing,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 If the Adviser is not able to provide identifying information for each restricted issuer including as may be requested by the Sub-Adviser, the Adviser hereby acknowledges that the Sub-Adviser is not required to independently identify such issuers.</w:t>
        <w:br/>
        <w:t xml:space="preserve">  2</w:t>
        <w:br/>
        <w:t>(c) The Sub-Adviser will select broker-dealers and counterparties to effect all portfolio transactions for the Fund Account subject to the conditions set forth herein. The Sub-Adviser will place all necessary orders with brokers-dealers, counterparties or issuers, and will negotiate brokerage commissions, if applicable. The Sub-Adviser agrees that, in placing orders with broker-dealers and counterparties, it will seek to obtain the best execution, considering all of the circumstances, in accordance with Sub-Adviser’s best execution policy and shall maintain records adequate to demonstrate compliance with this requirement; provided that, on behalf of the Fund, and in compliance with Section 28(e) of the Securities Exchange Act of 1934 (“1934 Act”), the Sub-Adviser may, in its discretion, where applicable use brokers-dealers and counterparties (including brokers- dealers and counterparties that may be affiliated persons of the Sub-Adviser to the extent permitted by law) who provide the Sub-Adviser with research, analysis, advice and similar services to execute portfolio transactions, and the Sub-Adviser may cause the Fund Account to pay to those brokers-dealers and counterparties in return for brokerage and research services a higher commission than may be charged by other brokers- dealers and counterparties, subject to the Sub-Adviser’s determination in good faith that such commission is reasonable in terms either of the particular transaction or of the overall responsibility of the Sub-Adviser to the Fund and its other clients and that the total commissions paid by the Fund will be reasonable in relation to the benefits to the Fund over the long term. If applicable, subject to seeking best execution, the Board or the Adviser may direct the Sub-Adviser to effect transactions in portfolio securities through broker-dealers and counterparties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and, to elect where appropriate, any beneficial regulatory treatment, including real time reporting delays.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trade allocation policy and its fiduciary obligations to each client account. The Sub-Adviser shall not be liable for any act or omission of any brokerage firm or firms or counterparties designated by the Adviser or chosen by the Sub-Adviser with reasonable care.</w:t>
        <w:br/>
        <w:t>(d) Except as permitted by applicable law, rule or an regulation (including, but not limited to, Sections 10 and 17 of the 1940 Act and Section 206 of the Investment Advisers Act of 1940, as amended (“Advisers Act”), and the respective rules and regulations promulgated thereunder), including by exemptive order or rule of the granted by the U.S. Securities and Exchange Commission (“SEC, and policies and procedures adopted by the Board thereunder”), SEC interpretive release, and/or SEC staff no-action letter or other written guidance, the Sub-Adviser shall not, on behalf of the Fund Account, enter into any transaction wherein:</w:t>
        <w:br/>
        <w:t>(i) during the existence of any underwriting or selling syndicate, an affiliated person of the Fund, or any affiliated person of such an affiliated person, acts as a principal underwriter;</w:t>
        <w:br/>
        <w:t>(ii) an affiliated person of or principal underwriter for the Fund, or any affiliated person of such an affiliated person or principal underwriter, acts as principal; or</w:t>
        <w:br/>
        <w:t>(iii) an affiliated person of the Fund, or any affiliated person of such an affiliated person, acts as agent or broker.</w:t>
        <w:br/>
        <w:t xml:space="preserve">  3</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Fund within the meaning of Section 2(a)(20)(B) of the 1940 Act, and therefore an “affiliated person” of the Fund within the meaning of Section 2(a)(3)(E) of the 1940 Act. The parties agree that each party will provide the other party with a written list of its affiliated persons, and affiliated thereof, indicating which of those affiliated persons are broker-dealers, counterparties, futures commission merchants, and/or banks, and will update such list from time to time as necessary. If the Adviser is not able to provide identifying information for each affiliated person, and affiliated thereof, the Adviser hereby acknowledges that the Sub-Adviser is not required to independently identify such parties.</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(iii) any successor sub-adviser of the Fund in order to effect an orderly transition of sub-advisory duties, so long as such consultations do not concern transactions prohibited by Section 17(a) of the 1940 Act, or (iv) the Adviser.</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provided, however, that the Sub-Adviser may retain a copy of such records for legal or regulatory purposes. The Sub-Adviser agrees to keep confidential all records of the Trust and information relating to the Trust in accordance with Section 14 hereof, unless the release of such records or information is otherwise consented to in writing by the Trust or the Adviser or reasonably required by law. The Trust and the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4</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broker-dealers and counterparties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missing or incorrect instructions negligently provided by the Sub-Adviser; except that it shall be the responsibility of the Sub-Adviser to notify the Adviser if the Custodian fails to confirm in writing proper execution of the instructions upon discovery of such failure.</w:t>
        <w:br/>
        <w:t>(h) The Sub-Adviser shall have authority to instruct the Custodian to: (i) pay cash for securities and other property delivered for the Fund Account, (ii) deliver or accept delivery of, upon receipt of payment or payment upon receipt of, securities, commodities or other property underlying any derivatives contracts, and other property purchased or sold in the Fund Account, and (iii) deposit margin or collateral which shall include the transfer of money, securities or other property to the extent necessary to meet the obligations of the Fund Account with respect to any investments made pursuant to the Investment Guidelines of the Fund Account.</w:t>
        <w:br/>
        <w:t>(i)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(j) The Adviser hereby acknowledges that the Sub-Adviser is not responsible for pricing portfolio securities for purposes of calculating the Fund’s net asset value. Notwithstanding the foregoing, as requested by the Adviser or the Trust, the Sub-Adviser agrees to provide reasonable assistance to the Administrator and/or the Fund in determining the fair valuation of any portfolio securities held in the Fund Account and will use its reasonable efforts to assist with valuation information of one or more price(s) for each portfolio security held in the Fund Account for which the Administrator does not obtain prices in the ordinary course of business from an automated pricing service. When conducting its reconciliations with the Administrator,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reasonable request, with such records being deemed Fund records.</w:t>
        <w:br/>
        <w:t xml:space="preserve">  5</w:t>
        <w:br/>
        <w:t>(k)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reasonable request of the Trust or the Adviser, the Sub-Adviser shall review draft reports to shareholders, Registration Statements or portions thereof that relate to the Fund Account or the Sub-Adviser and other documents provided to the Sub-Adviser, and provide comments on such drafts on a timely basis. If required, the Sub-Adviser will prepare and cause to be filed in a timely manner Form 13F and Schedule 13G with respect to securities held for the Fund Account.</w:t>
        <w:br/>
        <w:t>(l)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as set forth in Schedule B; (ii) upon request and with reasonable prior notice, cooperate with third-party audits arranged by the Trust to evaluate the effectiveness of the Trust’s compliance controls; (iii) upon reasonable request and with reasonable prior notice, provide the Trust’s chief compliance officer with access to Sub-Adviser’s chief compliance officer (or his/her designee); and (iv) upon reasonable request, provide the Trust’s chief compliance officer with periodic reports set forth in Schedule B.</w:t>
        <w:br/>
        <w:t>(m)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and administrative duties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not otherwise authorized herein to provide, or assist in providing, discretionary investment advisory services under this Section 3(m), it will provide the Adviser and the Fund with 30 days’ prior written notice, which will include the identity of the affiliated person and such other information reasonably requested by the Adviser or the Fund.</w:t>
        <w:br/>
        <w:t>(n) The Sub-Adviser will have the ability to delegate back office services and other administrative functions to State Street Investment Manager Solutions, LLC and its affiliates or other agents. For purposes of this provision, the Sub-Adviser may share such information as necessary to accomplish such purposes.</w:t>
        <w:br/>
        <w:t xml:space="preserve">  6</w:t>
        <w:br/>
        <w:t>(o) The Sub-Adviser will not be responsible on behalf of the Fund Account for making any class action filings, including bankruptcies or otherwise exercise any rights the Adviser or Trust may have with respect to participating in, commencing or defending suits or legal proceedings involving securities or issuers of securities held in, or formerly held in the Fund Account. The Sub-Adviser shall promptly provide the Trust and the Adviser with any information it receives regarding class action claims or any other legal matters involving any asset held in the Fund Account and shall cooperate in providing information permissible to the Trust and the Adviser to the extent necessary for the Trust or the Adviser to pursue and/or participate in any such action.</w:t>
        <w:br/>
        <w:t>(p) The Sub-Adviser is authorized to effect cross transactions between the Fund Account and other accounts managed by the Sub-Adviser and its affiliates in compliance with applicable law, regulations and interpretations.</w:t>
        <w:br/>
        <w:t>(q) The Sub-Adviser shall not engage in securities lending transactions on behalf of the Fund, and therefore shall not be liable for any losses resulting from securities lending, or unavailability of securities or other assets in the Fund Account, as a result of any securities lending transactions with respect to the Fund Account.</w:t>
        <w:br/>
        <w:t>(r) Notwithstanding any other provision herein to the contrary, Sub-Adviser shall have no obligation to perform services other than traditional sub-advisory services, including the following services: (i) shareholder services or support functions, such as responding to shareholders’ questions about the Fund or its investments or strategies, or preparing and filing materials for distribution to the Fund’s shareholders, including statistical information about the Fund and materials regarding the Fund’s performance or investments; (ii) provision of legal, accounting or tax advice with respect to the Fund or its investments by the Sub-Adviser’s in-house legal, accounting or tax departments; (iii) providing employees of the Sub-Adviser to serve as officers of the Fund; or (iv) providing the Fund’s chief compliance officer and associated staff.</w:t>
        <w:br/>
        <w:t>4. Further Duties. In all matters relating to the performance of this Agreement, the Sub-Adviser will act in conformity with the Investment Guidelines of the Fund Account as described in the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to the extent relevant to the Fund Account;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 as soon as practicable after such materials become available and such other documents or instruments governing the investment of the Fund Account and such other information as reasonably requested by the Sub-Adviser, as necessary for the Sub-Adviser to carry out its obligations under this Agreement. The Adviser agrees that unless and until such information has been received by the Sub-Adviser, the Sub-Adviser is under no obligation with respect to such materials and information in its management of the Fund Account.</w:t>
        <w:br/>
        <w:t xml:space="preserve">  7</w:t>
        <w:br/>
        <w:t>5. Proxy and Corporate Voting Authority.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and its proxy voting policy. The Adviser shall instruct the Custodian to forward or cause to be forwarded to the Sub-Adviser (or its designated agent, for whom the Sub-Adviser will remain responsible) all relevant proxy solicitation materials on a timely basis. The Sub-Adviser will report quarterly its voting records with respect to the Fund Account, identifying such voting records as voting records of the Fund, to enable the Fund to meet its disclosure requirement pursuant to Rule 30b1-4 under the 1940 Act. The Sub-Adviser represents and that it has adopted written proxy voting policies and procedures, a copy of which has been provided to the Fund in Sub-Adviser’s compliance program summary (“Compliance Procedure Summary”), in compliance with current applicable rules and regulations, including but not limited to Rule 206(4)-6 under the Advisers Act and any applicable exemptive guidance or relief, and that it will provide to the Adviser as soon as practicable upon reasonable request: (i) a summary of any material update of such policies and procedures; and (ii) such other information as is necessary to assist the Adviser in complying with Rule 206(4)-6 under the Advisers Act.</w:t>
        <w:br/>
        <w:t>Additionally, in addition to the proxy voting authority provided hereunder, the investment authority granted to the Sub-Adviser shall include the sole authority to exercise whatever powers the Adviser or Trust may possess with respect to any of its assets held in the Fund Account, including, but not limited to, the power to exercise rights, options, warrants and conversion and redemption privileges, and to tender securities pursuant to a tender offer. The Sub-Adviser will use commercially reasonable efforts to elect on corporate actions within the time frame prescribed by the Custodian or other agent of the Fund Account.</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all of its expenses with respect to the Fund Account.</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to the Trust or the Adviser for any loss due solely to a mistake of investment judgment or for the acts or omissions of any other fiduciary or other person respecting the Fund Account, or for anything done or omitted by the Sub-Adviser under the terms of this Agreement, but shall be liable for any loss which is incurred by reason of an act or omission of its employee, partner, director or affiliate, if such act or omission involves willful misfeasance, bad faith or gross negligence, or reckless disregard of its duties or obligations hereunder, whether express or implied. Nothing in this paragraph shall be deemed a limitation or waiver of any obligation or duty that may not by law be limited or waived.</w:t>
        <w:br/>
        <w:t xml:space="preserve">  8</w:t>
        <w:br/>
        <w:t>9. Indemnification.</w:t>
        <w:br/>
        <w:t>(a) The Adviser shall indemnify the Sub-Adviser and any of its directors, officers, employees, agents and affiliates for all losses, claims, damages, liabilities, costs, and expenses (including reasonable legal and other expenses) (“Losses”) incurred by the Sub-Adviser by reason of or arising out of any act or omission by the Adviser under this Agreement, or any breach of warranty, representation or agreement hereunder, except to the extent that such Losses arise as a result of the gross negligence, willful misfeasance or bad faith of the Sub-Adviser or the Sub-Adviser’s reckless disregard of its duties or obligations hereunder.</w:t>
        <w:br/>
        <w:t>(b) The Trust shall indemnify the Sub-Adviser and any of its directors, officers, employees, agents and affiliates for all Losses incurred by the Sub-Adviser by reason of or arising out of any act or omission by the Trust under this Agreement, or any breach of warranty, representation or agreement hereunder, except to the extent that such Losses arise as a result of the gross negligence, willful misfeasance or bad faith of the Sub-Adviser or the Sub-Adviser’s reckless disregard of its duties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reckless disregard of its duties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reckless disregard of its duties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 xml:space="preserve">  9</w:t>
        <w:br/>
        <w:t>(b) The Trust is registered as an investment company under the 1940 Act and the Fund, a series of the Trust, elected to qualify and has qualified as a regulated investment company under the Code, and the Fund’s shares are registered under the Securities Act of 1933, as amended (the “1933 Act”).</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Fund is a “qualified institutional buyer” (“QIB”) as defined in Rule 144A under the 1933 Act.</w:t>
        <w:br/>
        <w:t>(f) The Fund is a “qualified eligible person” (“QEP”) as defined in Commodity Futures Trading Commission Rule 4.7 (“CFTC Rule 4.7”) and hereby consents to be treated as an “exempt account” under CFTC Rule 4.7.</w:t>
        <w:br/>
        <w:t>(g) The assets in the Fund Account are free from all liens and charges, and undertakes that no liens or charges will arise from the act or omissions of the Trust or the Adviser which may prevent the Sub-Adviser from giving a first priority lien or charge on the assets solely in connection with the Sub-Adviser’s authority to direct the deposit of margin or collateral to the extent necessary to meet the obligations of a Fund with respect to any investments made for the Fund.</w:t>
        <w:br/>
        <w:t>(h) None of the beneficial owners of the assets in the Fund Account are a “government entity” within the meaning of Rule 206(4)-5 under the Advisers Act and Trust the will promptly notify the Sub-Adviser if any government entity assets are contributed to the Fund Account.</w:t>
        <w:br/>
        <w:t>(i) The Trust will promptly notify the Sub-Adviser of any material breach of this Agreement or if any of the representations under this Section 10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(v) will promptly notify the Sub-Adviser of any material breach of this Agreement or if any of the representations under this Section 11 becomes materially untrue; and (vi) will promptly notify the Sub-Adviser of the occurrence of any event that would disqualify the Adviser from serving as an investment adviser of an investment company pursuant to Section 9(a) of the 1940 Act or otherwise.</w:t>
        <w:br/>
        <w:t xml:space="preserve">  10</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could reasonably have a material adverse impact on the Sub-Adviser’s ability to provide services under this Agreement or would disqualify the Sub-Adviser from serving as an investment adviser of an investment company pursuant to Section 9(a) of the 1940 Act or otherwise. The Sub-Adviser will also promptly notify the Trust and the Adviser if it is served or otherwise receives notice of any material action, suit, proceeding, inquiry or investigation, at law or in equity, or any material threat thereof, before or by any court, public board or body, directly involving the affairs of the Fund. The Sub-Adviser further agrees to notify the Adviser or the Trust promptly if any statement provided by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and the Adviser and the Trust have been provided a copy of its Compliance Procedure Summary. The Sub-Adviser will notify the Adviser promptly of any material compliance matters (as defined in Rule 38a-1 under the 1940 Act) relating directly to, or could reasonably be expected to have a material impact on, the Fund Account, the Fund, the Trust or the Adviser.</w:t>
        <w:br/>
        <w:t>(c) The Sub-Adviser has adopted a written code of ethics complying with the requirements of Rule 204A-1 under the Advisers Act and Rule 17j-1 under the 1940 Act and will provide the Adviser and the Trust with a copy of a summary of such code of ethics which has been provided to the Fund in the Sub-Adviser’s Compliance Procedure Summary, together with evidence of its adoption and a certification that the Sub-Adviser has adopted procedures reasonably necessary to prevent “access persons” from violations of such code of ethics. Within thirty (30) days following the end of the last calendar quarter of each year that this Agreement is in effect, the Sub-Adviser shall furnish to the Trust and the Adviser the reports set forth in Schedule B pertaining to its written code of ethics.</w:t>
        <w:br/>
        <w:t xml:space="preserve">  11</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material developments affecting the Sub-Adviser, as required by the Advisers Act.</w:t>
        <w:br/>
        <w:t>(e) The Sub-Adviser will notify the Trust and the Adviser of any change of control of the Sub-Adviser, as determined under the 1940 Act, and any changes in the key personnel who are either the named portfolio manager(s) of the Fund Account, in each case prior to such change if the Sub-Adviser is aware of such change to the extent practicable but in any event not later than promptly after such change. The Sub-Adviser agrees to bear the necessary, reasonable and customary expenses of the Trust and Adviser, if any, arising out of such change.</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provide to the Adviser evidence of such coverage. The Sub-Adviser shall provide written notice to the Adviser upon request of any material changes in its insurance policies or insurance coverage.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promptly notify the Adviser of trade errors with respect to the Fund Account as determined in accordance with the Sub-Adviser’s trade error policy,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 xml:space="preserve">  12</w:t>
        <w:br/>
        <w:t>(k) The Sub-Adviser has established and will keep in effect a reasonable “disaster recovery” preparedness plan. The Sub-Adviser shall notify the Adviser, as soon as practicable by telephone, email or such other method of prompt communication as may be available under the circumstances, of the occurrence of any event requiring the Sub-Adviser to implement any procedures under such plan to the extent it is expected to materially adversely affect the Fund Account.</w:t>
        <w:br/>
        <w:t>(l) The Sub-Adviser has adopted reasonable administrative, technical and physical safeguards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upon discovery, immediately take appropriate steps to contain or mitigate the Cybersecurity Breach, and notify the Adviser and the Fund.</w:t>
        <w:br/>
        <w:t>13. Services Not Exclusive. The services furnished by the Sub-Adviser hereunder are not to be deemed to be exclusive, and the Sub-Adviser shall be free to furnish similar services to any person or entity, including without limitation, other investment companies and persons who may retain PIMCO to provide investment management services and the performance of such services shall not be deemed to violate any duty or obligation under the Agreement, except as prohibited by applicable law.</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reasonable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The Sub-Adviser may disclose information relating to the Trust, the Adviser, the Fund and/or the Fund Account to its associates, to any of its delegates and other agents under the Agreement, to any market counterparty or any broker-dealer (in accordance with market practice) in relation to transactions undertaken for the Fund Account, and to the Custodian and the Administrator, in order to assist or enable the proper performance of its services under the Agreement. Subject to Fund Account’s Investment Guidelines, the Sub-Adviser and any trading counterparties are authorized to disclose transaction and other information to data repositories and regulators for the purposes of meeting applicable transaction and other regulatory reporting requirements.</w:t>
        <w:br/>
        <w:t>To the extent that the Adviser or the Trust requests the Sub-Adviser’s assistance with compliance with the Trust’s or the Fund’s obligations under SEC Rule 22e-4, the Adviser and the Trust hereby consent to the Sub-Adviser’s sharing of Fund Account holdings data and other information with State Street Bank and Trust Company or any other third party vendor that the Sub-Adviser may engage for this purpose.</w:t>
        <w:br/>
        <w:t xml:space="preserve">  13</w:t>
        <w:br/>
        <w:t>In all cases, any party to which disclosure of non-public information is made shall be legally bound to maintain the confidentiality of such information; provided, however, that the information may be shared with each party’s representatives on a need-to-know basis only.</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 but any such termination shall not affect the status, obligations, or liabilities of the Adviser to the Fund and the Sub-Adviser arising prior to termination.</w:t>
        <w:br/>
        <w:t>(c) This Agreement may be terminated at any time, without the payment of any penalty, by the Adviser immediately upon written notice to the Sub-Adviser but any such termination shall not affect the status, obligations, or liabilities of the Adviser to the Fund and the Sub-Adviser arising prior to termination.</w:t>
        <w:br/>
        <w:t>(d) This Agreement shall terminate automatically in the event of its assignment by the Sub-Adviser, or upon the termination of the Advisory Agreement as it relates to the Fund.</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signed by all parties to the Agreement and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 xml:space="preserve">  14</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It is understood that the name “Pacific Investment Management Company LLC” or “PIMCO” or any derivative thereof and certain trade names, trademarks, service marks and/or logos associated with such names (“PIMCO Marks”) are the valuable property of PIMCO and its affiliates. The Sub-Adviser consents to the use of PIMCO Marks in the offering materials of the Fund for so long as PIMCO is the Sub-Adviser to the Fund Account. The permission to use the PIMCO Marks is non-exclusive, non-transferable and non-assignable. In obtaining permission to use the PIMCO Marks for this purpose, the Adviser and the Trust will acquire no right, title, or interest whatsoever to any of the PIMCO Marks. The Adviser nor the Trust, or anyone acting on their behalf, shall not edit, excerpt or modify the PIMCO Marks in any way. Upon termination of this Agreement, the Adviser and the Trust shall immediately cease to use such name (or derivative or logo), except as may be required by applicable law or regulation.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 xml:space="preserve">  15</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Pacific Investment Management Company LLC</w:t>
        <w:br/>
        <w:t>000 Xxxxxxx Xxxxxx Xxxxx</w:t>
        <w:br/>
        <w:t>Newport Beach, CA 92660</w:t>
        <w:br/>
        <w:t>Attn: General Counsel</w:t>
        <w:br/>
        <w:t>Email: XXXxxxxxxx@xxxxx.xxx</w:t>
        <w:br/>
        <w:t>cc: Xxxx Xxxxxxxxx</w:t>
        <w:br/>
        <w:t>Email: xxxx.xxxxxxxxx@xxxxx.xxx</w:t>
        <w:br/>
        <w:t>The Adviser consents to the delivery of Fund Account statements, reports and other communications (collectively, “Fund Account Communications”) via electronic mail and/or other electronic means acceptable to the Adviser, in lieu of sending such Fund Account Communications as hard copies via facsimile, mail or other means. The Adviser confirms that it has provided the Sub-Adviser with at least one valid electronic mail address where Fund Account Communications may be sent. The Adviser acknowledges that the Sub-Adviser reserves the right to distribute certain Fund Account Communications via facsimile, mail or other means to the extent required by applicable law or otherwise deemed advisable. The Adviser may withdraw consent to electronic delivery at any time by giving the Sub-Adviser notice pursuant to this Section 24.</w:t>
        <w:br/>
        <w:t>[remainder of page left intentionally blank]</w:t>
        <w:br/>
        <w:t xml:space="preserve">  16</w:t>
        <w:br/>
        <w:t>PURSUANT TO AN EXEMPTION FROM THE COMMODITY FUTURES TRADING COMMISSION IN CONNECTION WITH ACCOUNTS OF QUALIFIED ELIGIBLE PERSONS, THIS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ACCOUNT DOCUMENT.</w:t>
        <w:br/>
        <w:t>IN WITNESS WHEREOF, the parties hereto have caused this instrument to be executed by their duly authorized signatories as of September 18, 2020.1</w:t>
        <w:br/>
        <w:t xml:space="preserve">  GUIDESTONE FUNDS, 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PACIFIC INVESTMENT MANAGEMENT COMPANY LLC</w:t>
        <w:br/>
        <w:t xml:space="preserve">By:  </w:t>
        <w:br/>
        <w:t xml:space="preserve">  Name:  </w:t>
        <w:br/>
        <w:t xml:space="preserve">  Title:   Managing Director</w:t>
        <w:br/>
        <w:t xml:space="preserve">  1 </w:t>
        <w:br/>
        <w:t>Original Agreement dated September 13, 2005, as amended, for both the Low-Duration Bond Fund and Medium-Duration Bond Fund.</w:t>
        <w:br/>
        <w:t>Amended and Restated as of September 18, 2020.</w:t>
        <w:br/>
        <w:t xml:space="preserve">  17</w:t>
        <w:br/>
        <w:t>AMENDMENT TO THE SUB-ADVISORY AGREEMENT</w:t>
        <w:br/>
        <w:t>THIS AMENDMENT to the Amended and Restated Sub-Advisory Agreement is entered into as of July 1, 2023 (this “Amendment”) by and among GUIDESTONE FUNDS, a Delaware statutory trust (the “Trust”), GUIDESTONE CAPITAL MANAGEMENT, LLC, a limited liability company organized under the laws of the State of Texas (the “Adviser”) and PACIFIC INVESTMENT MANAGEMNT COMPANY LLC, a registered investment adviser organized under the laws of the State of New Jersey (“Sub-Adviser”).</w:t>
        <w:br/>
        <w:t>WHEREAS, Sub-Adviser provides investment management services to the Trust pursuant to the Sub-Advisory Agreement, amended and restated as of September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Proxy and Corporate Voting Authority. The Sub-Adviser shall not vote proxies on behalf of the Trust. Additionally, the investment authority granted to the Sub-Adviser shall include the sole authority to exercise whatever powers the Adviser or Trust may possess with respect to any of its assets held in the Fund Account, including, but not limited to, the power to exercise rights, options, warrants and conversion and redemption privileges, to tender securities pursuant to a tender offer, the power to take actions in connection with exchanges, reorganizations, bankruptcies, debt workouts, or other types of corporate events. For the avoidance of doubt, the Sub-Adviser shall have authority, in connection with the forgoing events, to (i) accept, receive, or purchase securities or other instruments (including, but not limited to, common stock) into the Fund Account, and (ii) hold such securities or instruments for a reasonable time in the Fund Account, in each case, that may or may not be referenced or otherwise permitted in the Investment Guidelines, provided such actions are in the best interests of the Fund Account. The Sub-Adviser will use commercially reasonable efforts to elect on corporate actions within the time frame prescribed by the Custodian or other agent of the Fund Account</w:t>
        <w:br/>
        <w:t xml:space="preserve">    (b)</w:t>
        <w:br/>
        <w:t>Schedule B is hereby amended to delete “Current proxy voting policy” from the reports to be provided by Sub-Adviser.</w:t>
        <w:br/>
        <w:t>3. GOVERNING LAW. This Amendment shall be construed and the substantive provisions hereof interpreted under and in accordance with the laws of the State of Delaware.</w:t>
        <w:br/>
        <w:t xml:space="preserve">  18</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PACIFIC INVESTMENT MANAGEMENT COMPANY LLC</w:t>
        <w:br/>
        <w:t xml:space="preserve">By:  </w:t>
        <w:br/>
        <w:t xml:space="preserve">  Name:  </w:t>
        <w:br/>
        <w:t xml:space="preserve">Title: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