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TCW INVESTMENT MANAGEMENT COMPANY, LLC, a registered investment adviser organized under the laws of the State of Delaware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investment advisory services on behalf of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and employ the Sub-Adviser as a discretionary portfolio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policies and procedures adopted by the Trust or the Adviser that are provided to the Sub-Adviser,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The Trust will deliver to the Sub-Adviser a true and complete copy of the Fund’s Registration Statement as effective from time to time, and such other documents or instruments governing the investment of the Fund Account and such other information as reasonably requested by the Sub-Adviser, as is necessary for the Sub-Adviser to carry out its obligations under this Agreement. The Sub-Adviser is authorized on behalf of the Fund Account to enter into and execute any documents required to effect transactions with respect to the Fund Account, provided that such transactions are in accord with the 1940 Act, the Registration Statement, and all written guidelines, policies and procedures adopted by the Trust or the Adviser that are provided to the Sub-Adviser.</w:t>
        <w:br/>
        <w:t>(b)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upon receipt by the Sub-Adviser.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(c)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and dealers, it will seek to obtain the best net result in terms of price and execution, considering all of the circumstances, and shall maintain records adequate to demonstrate compliance with this requirement; provided that,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that the total commissions paid by the Fund will be reasonable in relation to the benefits to the Fund over the long term. Subject to seeking best execution, the Board or the Adviser may request the Sub-Adviser to effect transactions in portfolio securities through brokers and dealers in a manner that will help generate resources to pay the costs of certain expenses that the Trust is required to pay or for which the Trust is required to arrange payment, which request the Sub-Adviser may decline in its sole discretion. The Sub-Adviser agrees to provide the Adviser with reports or other information regarding brokerage and benefits received therefrom, upon the Adviser’s reasonable request.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w:t>
        <w:br/>
        <w:t xml:space="preserve">  2</w:t>
        <w:br/>
        <w:t>(d)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Trust within the meaning of Section 2(a)(20)(B) of the 1940 Act, and therefore an “affiliated person” of the Trust within the meaning of Section 2(a)(3)(E) of the 1940 Act. The Sub-Adviser agrees that it will provide the Adviser with a written list of its affiliated persons, indicating which of those affiliated persons are brokers, dealers, futures commission merchants, and/or banks, and will update such list from time to time as requested.</w:t>
        <w:br/>
        <w:t xml:space="preserve">  3</w:t>
        <w:br/>
        <w:t>(e)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concern transactions prohibited by Section 17(a) of the 1940 Act.</w:t>
        <w:br/>
        <w:t>(f)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Fund’s administrator (“Administrator”) with such periodic and special reports as any of them reasonably may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The Sub-Adviser agrees to keep confidential all records of the Trust and information relating to the Trust in accordance with Section 14 hereof unless the release of such records or information is otherwise consented to in writing by the Trust or the Adviser. The Trust and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law.</w:t>
        <w:br/>
        <w:t>(g) All transactions for the Fund Account will be consummated by delivery of assets to or from the custodian designated by the Trust (the “Custodian”), or such depositories or agents as may be designated by the Custodian in writing, and neither the Sub-Adviser nor its affiliated persons shall have possession or custody of Fund assets at any time. The Sub-Adviser shall advise the Custodian and confirm in writing to the Trust, to the Adviser and any other designated agent of the Fund, including the Administrator, all investment orders for the Fund Account placed by it with brokers and dealers at the time and in the manner set forth in Rule 31a-1 under the 1940 Act.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the Sub-Adviser shall have no responsibility or liability with respect to custodial arrangements or the acts, omissions or other conduct of the Custodian, other than acts or omissions arising in reliance on instructions of the Sub-Adviser, except where the Custodian has acted negligently or otherwise violated its duty of care to the Trust in the fulfillment of those instructions; further provided, that it shall be the responsibility of the Sub-Adviser to notify the Adviser if the Custodian fails to confirm in writing proper execution of the instructions.</w:t>
        <w:br/>
        <w:t xml:space="preserve">  4</w:t>
        <w:br/>
        <w:t>(h) The Sub-Adviser agrees to provide, at such times as shall be reasonably requested by the Board or the Adviser, the analysis and reports specified on Schedule B attached hereto,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(i) The Adviser hereby acknowledges that the Sub-Adviser is not responsible for pricing portfolio securities for purposes of calculating the Fund’s net asset value. Notwithstanding the foregoing, in accordance with procedures adopted by the Board, as amended from time to time, the Sub-Adviser will, upon request, timely assist the Administrator and/or the Fund in determining the fair valuation of all portfolio securities held in the Fund Account and will use its reasonable efforts to arrange for the provision of valuation information or one or more price(s), for each portfolio security held in the Fund Account for which the Administrator does not obtain prices in the ordinary course of business from an automated pricing service. The Sub-Adviser shall promptly notify the Adviser if, for any reason, the Sub-Adviser believes that the price of any security or other investment in the Fund Account may not accurately reflect the fair value thereof, provided that the Sub-Adviser has written notice of the price at which the asset is being carried by the Fund. The Sub-Adviser will maintain adequate records with respect to securities fair valuation information provided hereunder and shall provide such information to the Adviser upon request, with such records being deemed Fund records.</w:t>
        <w:br/>
        <w:t>(j) The Sub-Adviser shall provide reasonable assistance as needed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draft reports to shareholders, Registration Statements or portions thereof that relate to the Fund or the Sub-Adviser and other documents provided to the Sub-Adviser, provide comments on such drafts on a timely basis, and provide certifications or sub-certifications on a timely basis as to the accuracy of the information contained in such reports or other documents. If required, the Sub-Adviser will prepare and cause to be filed in a timely manner Form 13F and, if required, Schedule 13G with respect to securities held for the Fund Account.</w:t>
        <w:br/>
        <w:t>(k)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(i) certify periodically, upon the reasonable request of the Trust, that with respect to the Fund Account and the Sub-Adviser’s provision of portfolio management services hereunder, it is in compliance with all applicable “federal securities laws,” as required by Rule 38a-l under the 1940 Act, and Rule 206(4)-7 under the Advisers Act; (ii) upon request and reasonable prior notice, cooperate with third-party audits arranged by the Trust to evaluate the effectiveness of the Trust’s compliance controls; (iii) upon request and reasonable prior notice, provide the Trust’s chief compliance officer with direct access to Sub-Adviser’s chief compliance officer (or his/her designee); and (iv) upon request, provide the Trust’s chief compliance officer with periodic reports.</w:t>
        <w:br/>
        <w:t xml:space="preserve">  5</w:t>
        <w:br/>
        <w:t>(l) The Sub-Adviser is permitted to use persons employed by an “affiliated person” (as defined in the 1940 Act) of the Sub-Adviser, each of whom shall be treated as an “associated person” of the Sub-Adviser (as defined in the Advisers Act) to assist in providing discretionary or non-discretionary investment advisory services under this Agreement to the extent not prohibited by, or inconsistent with, applicable law, including the requirements of the 1940 Act and Advisers Act, the rules thereunder, and relevant positions of the SEC and its staff. The Sub-Adviser will be responsible under this Agreement for any action taken by such person on behalf of the Sub-Adviser in assisting the Sub-Adviser under the Agreement to the same extent as if the Sub-Adviser had taken such action directly. All fees and/or other compensation payable to such an affiliated person shall be the sole responsibility of the Sub-Adviser and neither the Fund nor the Adviser shall have any obligation to pay any fee or compensation to such affiliated person. To the extent the Sub-Adviser utilizes the services of an affiliated person to provide, or assist in providing, discretionary investment advisory services under this Section 3(l), it will provide the Adviser and the Fund with 30 days’ prior written notice, which will include the identity of the affiliated person and such other information reasonably requested by the Adviser or the Fund.</w:t>
        <w:br/>
        <w:t>(m) The Sub-Adviser will not be responsible for making any class action filings, including bankruptcies, on behalf of the Fund Account. The Sub-Adviser shall promptly provide the Trust and the Adviser with any information it receives regarding class action claims or any other legal matters involving any asset held in the Fund Account and shall cooperate with the Trust and the Adviser to the extent necessary for the Trust or the Adviser to pursue and/or participate in any such action. The Sub-Adviser will also promptly notify the Trust and the Adviser if the Sub-Adviser determines to commence an independent litigation (domestic or foreign) for securities held or previously held by the Fund Account.</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requirements of: (i) the 1940 Act and Advisers Act and the rules and regulations adopted under each; (ii) the requirements of Subchapter M of the Internal Revenue Code of 1986, as amended (“Code”), applicable to regulated investment companies; (iii) the CEA and the rules and regulations adopted thereunder; and (iv)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w:t>
        <w:br/>
        <w:t xml:space="preserve">  6</w:t>
        <w:br/>
        <w:t>5. Proxies. Unless the Adviser gives written instructions to the contrary, the Sub-Adviser shall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The Adviser shall instruct the Custodian to forward or cause to be forwarded to the Sub-Adviser (or its designated agent, for which the Sub-Adviser will remain liable) all relevant proxy solicitation materials. The Sub-Adviser will report quarterly its voting records with respect to the Fund Account, identifying such voting records as voting records of the Fund, to enable the Fund to meet its disclosure requirement pursuant to Rule 30b1-4 under the 1940 Act. The Sub-Adviser represents and covenants that it has adopted written proxy voting policies and procedures, a copy of which has been provided to the Fund, in compliance with current applicable rules and regulations, including but not limited to Rule 206(4)-6 under the Advisers Act and any applicable guidance, and that it will provide to the Adviser as soon as practicable: (i) any material update of such policies and procedures; and (ii) such other information as is necessary to assist the Adviser in complying with Rule 206(4)-6 under the Advisers Act.</w:t>
        <w:br/>
        <w:t>6. Expenses. During the term of this Agreement, the Sub-Adviser will bear all expenses incurred by it in connection with its services under this Agreement other than the cost of securities (including brokerage commissions, transactional fees and taxes, if any) purchased for the Fund. The Fund, Trust, and Adviser shall be responsible for their own expenses.</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Fund or the Trust in accordance with Section 6 above.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 If, at any time: (i) the Sub-Adviser or any of its affiliated persons provides to any other investment company registered under the 1940 Act investment advisory services using the investment strategies substantially similar to those provided by the Sub-Adviser to the Fund pursuant to this Agreement, (ii) the value of the assets under management with respect to which the Sub-Adviser provides such services to such other investment company is equal to or less than the value of the Fund Account, and (iii) the Sub-Adviser is compensated for providing such services at a rate less than the rate set forth on Schedule A, then the Sub-Adviser shall promptly notify the Adviser of the foregoing in reasonable detail and, as of the date of such notice, the rate set forth on Schedule A shall immediately and without requirement of further action (subject to any required approval or ratification by the Board) be deemed amended to reflect a rate equal to the lower rate at which the Sub-Adviser is compensated by such other investment company.</w:t>
        <w:br/>
        <w:t>8. Limitation of Liability. The Sub-Adviser shall not be liable for any loss due solely to a mistake of investment judgment, but shall be liable for any loss which is incurred by reason of an act or omission of its employee, partner, director or affiliate, if such act or omission involves willful misfeasance, bad faith or gross negligence, or breach of its duties or obligations hereunder, whether express or implied. Nothing in this paragraph shall be deemed a limitation or waiver of any obligation or duty that may not by law be limited or waived.</w:t>
        <w:br/>
        <w:t xml:space="preserve">  7</w:t>
        <w:br/>
        <w:t>9. Indemnification.</w:t>
        <w:br/>
        <w:t>(a) The Adviser shall indemnify the Sub-Adviser and any of its directors, officers, employees and affiliates for all losses, claims, damages, liabilities and litigation (including reasonable legal and other expenses) (“Losses”) incurred by the Sub-Adviser by reason of or arising out of any act or omission by the Adviser under this Agreement, if such act or omission involves the gross negligence, willful misfeasance, bad faith or breach of fiduciary duty of the Adviser, or any breach of warranty, representation or agreement hereunder, except to the extent that such Losses arise as a result of the gross negligence, willful misfeasance or bad faith of the Sub-Adviser or the Sub-Adviser’s material breach of duty or obligations hereunder.</w:t>
        <w:br/>
        <w:t>(b) The Trust shall indemnify the Sub-Adviser and any of its directors, officers, employees and affiliates for all Losses incurred by the Sub-Adviser by reason of or arising out of any act or omission by the Trust under this Agreement, if such act or omission involves the gross negligence, willful misfeasance, bad faith or breach of fiduciary duty of the Trust, or any breach of warranty, representation or agreement hereunder, except to the extent that such Losses arise as a result of the gross negligence, willful misfeasance or bad faith of the Sub-Adviser or the Sub-Adviser’s material breach of duty or obligations hereunder.</w:t>
        <w:br/>
        <w:t>(c) The Sub-Adviser shall indemnify the Adviser and any of its directors, officers, employees and affiliates for all Losses incurred by the Adviser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Adviser or the Adviser’s material breach of duty or obligations hereunder.</w:t>
        <w:br/>
        <w:t>(d) The Sub-Adviser shall indemnify the Trust and any of its trustees, officers, employees and affiliates for all Losses incurred by the Trust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Trust or the Trust’s material breach of duty or obligations hereunder.</w:t>
        <w:br/>
        <w:t>(e) The indemnification in this Section 9 shall survive the termination of this Agreement.</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 xml:space="preserve">  8</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(d) The Adviser and the Sub-Adviser each has been duly appointed by the Board to provide investment services to the Fund Account as contemplated hereby.</w:t>
        <w:br/>
        <w:t>(e) The Trust will promptly notify the Sub-Adviser of any material breach of this Agreement, if any representation under this Agreement becomes untrue or the occurrence of any event that could reasonably have a materially adverse impact on the Sub-Adviser’s ability to provide services under this Agreement.</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Sub-Adviser of any material breach of this Agreement, if any representation under this Agreement becomes untrue or the occurrence of any event that could reasonably have a materially adverse impact on the Sub-Adviser’s ability to provide services under this Agreement or disqualify the Adviser from serving as an investment adviser of an investment company pursuant to Section 9(a) of the 1940 Act or otherwise.</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upon discovery notify the Trust and Adviser of any material breach of this Agreement, if any representation under this Agreement becomes untrue or the occurrence of any event that could reasonably have a materially adverse impact on the Sub-Adviser’s ability to provide services under this Agreement or would disqualify the Sub-Adviser from serving as an investment adviser of an investment company pursuant to Section 9(a) of the 1940 Act or otherwise. The Sub-Adviser will also immediately notify the Trust and the Adviser if it is served or otherwise receives notice of any action, suit, proceeding, inquiry or investigation, at law or in equity, or any threat thereof, before or by any court, public board or body, directly involving the affairs of the Fund. The Sub-Adviser further agrees to notify the Adviser or the Trust promptly if any statement regarding the Sub-Adviser contained in the Registration Statement with respect to the Fund, or any amendment or supplement thereto, becomes untrue or incomplete in any material respect.</w:t>
        <w:br/>
        <w:t xml:space="preserve">  9</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a summary of the Compliance Procedures and any material amendments thereto. The Sub-Adviser will notify the Adviser promptly of any material compliance matters (as defined in Rule 38a-1 under the 1940 Act) relating directly or indirectly to, or could reasonably be expected to have an impact on, the Fund Account, the Fund, the Trust, the Adviser or the Sub-Adviser and any actions taken in response to issues or items raised by the SEC or other regulator.</w:t>
        <w:br/>
        <w:t>(c) The Sub-Adviser has adopted a written code of ethics complying with the requirements of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in writing any material amendments to its code of ethics; (iv) immediately furnish to the Board all information regarding any material violation of the code of ethics by any person who would be considered an “Access Person” under the Trust’s and Adviser’s code of ethics, if such person were not subject to the Sub-Adviser’s code of ethics;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and related records.</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 Such amendments shall reflect significant developments affecting the Sub-Adviser, as required by the Advisers Act.</w:t>
        <w:br/>
        <w:t xml:space="preserve">  10</w:t>
        <w:br/>
        <w:t>(e) The Sub-Adviser will notify the Trust and the Adviser of any change of control of the Sub-Adviser, including any change of its general partners, controlling persons or 25% shareholders, as applicable, and any changes in the key personnel who are either the portfolio manager(s) of the Fund Account or senior management of the Sub-Adviser, in each case prior to such change if the Sub-Adviser is aware of such change but in any event not later than promptly after such change. The Sub-Adviser agrees to bear all reasonable expenses of the Trust and Adviser, if any, arising out of such change.</w:t>
        <w:br/>
        <w:t>(f) The Sub-Adviser agrees to maintain an appropriate level of errors and omissions or professional liability insurance coverage in an amount agreed upon from time to time by the Adviser and Sub-Adviser from insurance providers that are in the business of regularly providing insurance coverage to investment advisers. In no event shall such coverage be less than $5,000,000. The Sub-Adviser shall upon request provide to the Adviser any information it may reasonably require concerning the amount or scope of such insurance. The Sub-Adviser shall provide written notice to the Adviser of any material reduction in the Sub-Adviser’s insurance coverage.</w:t>
        <w:br/>
        <w:t>(g) The Sub-Adviser will not, in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For the avoidance of doubt, the Sub-Adviser may identify itself as a sub-adviser of the Fund during the term of this Agreement, which such right terminating upon termination of this Agreement, and the Sub-Adviser may use the performance of the Fund Account in its composite performance.</w:t>
        <w:br/>
        <w:t>(i) The Sub-Adviser agrees to notify the Adviser, as soon as practicable, of errors, including trade errors, made by the Sub-Adviser in connection with its management of the Fund Account.</w:t>
        <w:br/>
        <w:t>(j) The Sub-Adviser has reviewed the registration requirements of the CEA and the National Futures Association (“NFA”) relating to commodity trading advisors and is either appropriately registered with the Commodity Futures Trading Commission (“CFTC”) and a member of the NFA or exempt or excluded from CFTC registration requirements. If required by the CEA or the rules and regulations thereunder promulgated by the CFTC, the Sub-Adviser will provide the Fund with a copy of its most recent CFTC disclosure document or a written explanation of the reason why it is not required to deliver such a disclosure document.</w:t>
        <w:br/>
        <w:t xml:space="preserve">  11</w:t>
        <w:br/>
        <w:t>(k) The Sub-Adviser has established and will keep in effect a “disaster recovery” preparedness plan that sets forth procedures for recovery of critical business functions at minimum operating levels and can be implemented within a 24-hour time period. The Sub-Adviser shall notify the Adviser, as soon as practicable by telephone, email or such other method of prompt communication as may be available under the circumstances, of the occurrence of any event requiring the Sub-Adviser to implement any procedures under such plan.</w:t>
        <w:br/>
        <w:t>(l) The Sub-Adviser has administrative, technical and physical safeguards in place that comply with all laws and regulations applicable to the Sub-Adviser and meet or exceed the information security standards and practices that are commonly utilized by similarly sized managers in the asset management industry and, in the event the Sub-Adviser becomes aware of any actual or suspected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unauthorized access to and/or use by third parties of the confidential information of the Fund or the Adviser (each, a “Cybersecurity Breach”), the Sub-Adviser will immediately take appropriate steps to contain or mitigate the Cybersecurity Breach, and notify the Adviser and the Fund.</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14. Confidentiality. Subject to the duty of the Sub-Adviser, the Adviser and the Trust to comply with: (i) applicable law, rule or regulation, or a court order; or (ii) any demand of any government, regulatory or taxing authority having jurisdiction, or any self-regulatory organization, the parties hereto shall treat as confidential all material non-public information pertaining to the Fund Account and the actions of the Sub-Adviser, the Adviser and the Trust in respect thereof. The Sub-Adviser shall take steps to ensure that the Fund’s portfolio holdings information is shared only with such persons that are subject to a duty of confidentiality and duty not to trade on such information, and that such persons comply with the confidentiality provisions of this Agreement. For the avoidance of doubt, Adviser and Trust authorizes the Sub-Adviser to provide to third parties, or otherwise allow such third parties to access, including through the Custodian, information regarding the Adviser, the Trust, the Fund, the Fund Account and the portfolio data, to facilitate trading (including trading in swaps, futures, forwards, options and other derivatives), trade clearing, trade confirmation, trade reporting, collateral management, electronic reconciliation and other administrative services reasonably necessary for the Sub-Adviser’s provision of the required services to the Fund and Fund Account under this Agreement; provided that any party to whom disclosure is made shall be legally bound to protect the confidentiality thereof. The provisions of this Section 14 shall survive any termination of this Agreement.</w:t>
        <w:br/>
        <w:t>15.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by the Board, or by vote of a majority of the outstanding voting securities of the Fund, in accordance with all applicable provisions of the 1940 Act, and any applicable exemptive relief provided by the SEC.</w:t>
        <w:br/>
        <w:t xml:space="preserve">  12</w:t>
        <w:br/>
        <w:t>(b) This Agreement may be terminated at any time, without the payment of any penalty, by the Board, or by vote of a majority of the outstanding voting securities of the Fund on sixty (60) days’ written notice to the Sub-Adviser.</w:t>
        <w:br/>
        <w:t>(c) This Agreement may be terminated at any time, without the payment of any penalty, by the Adviser immediately upon written notice to the Sub-Adviser.</w:t>
        <w:br/>
        <w:t>(d) This Agreement shall terminate automatically in the event of its assignment by the Sub-Adviser, or upon the termination of the Advisory Agreement as it relates to the Fund. The Sub-Adviser agrees to bear all reasonable expenses of the Trust, if any, arising out of an assignment of this Agreement by the Sub-Adviser.</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16.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17.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18.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 xml:space="preserve">  13</w:t>
        <w:br/>
        <w:t>19.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20. Reference to the Sub-Adviser. The Adviser and the Trust are authorized to publish and distribute information, including, but not limited to, Registration Statements, Fund fact sheets and marketing material, regarding the provision of sub-advisory services by the Sub-Adviser pursuant to this Agreement and to include in such information the name of the Sub-Adviser or any trademark, service mark, symbol or logo of the Sub-Adviser provided by Sub-Adviser, without the prior written consent of the Sub-Adviser. The Adviser will provide copies of such items to the Sub-Adviser upon request within a reasonable time following such use, publication or distribution. The Adviser and the Trust shall be liable to the Sub-Adviser for any misrepresentation concerning the Sub-Adviser contained in the foregoing materials to the extent that such misrepresentation does not arise out of incorrect information provided by the Sub-Adviser.</w:t>
        <w:br/>
        <w:t>21.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22. Severability. If any provision of this Agreement is held or made invalid by a court decision, statute, rule or otherwise, the remainder of this Agreement shall not be affected thereby.</w:t>
        <w:br/>
        <w:t>23. Miscellaneous. The captions in this Agreement are included for convenience of reference only and in no way define or delimit any of the provisions hereof or otherwise affect their construction or effect.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 xml:space="preserve">  14</w:t>
        <w:br/>
        <w:t>24.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 All notices provided to Adviser will be sent to:</w:t>
        <w:br/>
        <w:t>GuideStone Capital Management, LLC</w:t>
        <w:br/>
        <w:t>0000 Xxxxxx X. Xxxxxxx Xxxxxxx, Xxxxx 0000</w:t>
        <w:br/>
        <w:t>Dallas, Texas 75244-6152</w:t>
        <w:br/>
        <w:t>Attn: Xxxxxxx Xxxxxxxx, Vice President – Fund Operations</w:t>
        <w:br/>
        <w:t>Email: xxxxxxx.xxxxxxxx@xxxxxxxxxx.xxx</w:t>
        <w:br/>
        <w:t>All notices provided to the Sub-Adviser will be sent to:</w:t>
        <w:br/>
        <w:t>TCW Investment Management Company LLC</w:t>
        <w:br/>
        <w:t>000 Xxxxx Xxxxxxxx Xxxxxx</w:t>
        <w:br/>
        <w:t>Los Angeles, California 90017</w:t>
        <w:br/>
        <w:t>Attn: Xxxxx Xxxxxx, Managing Director</w:t>
        <w:br/>
        <w:t>Email: Xxxxx.Xxxxxx@xxx.xxx</w:t>
        <w:br/>
        <w:t>[rest of page left intentionally blank]</w:t>
        <w:br/>
        <w:t xml:space="preserve">  15</w:t>
        <w:br/>
        <w:t>IN WITNESS WHEREOF, the parties hereto have caused this instrument to be executed by their duly authorized signatories as of September 18, 2020.1</w:t>
        <w:br/>
        <w:t xml:space="preserve">  GUIDESTONE FUNDS,</w:t>
        <w:br/>
        <w:t>on behalf of the series of the Trust listed on Schedule A</w:t>
        <w:br/>
        <w:t xml:space="preserve">By:    </w:t>
        <w:br/>
        <w:t>Name:</w:t>
        <w:br/>
        <w:t xml:space="preserve">  Xxxx X. Xxxxx</w:t>
        <w:br/>
        <w:t>Title:</w:t>
        <w:br/>
        <w:t xml:space="preserve">  President</w:t>
        <w:br/>
        <w:t>GUIDESTONE CAPITAL MANAGEMENT, LLC</w:t>
        <w:br/>
        <w:t xml:space="preserve">By:    </w:t>
        <w:br/>
        <w:t>Name:</w:t>
        <w:br/>
        <w:t xml:space="preserve">  Xxxxx X. Xxxxx</w:t>
        <w:br/>
        <w:t>Title:</w:t>
        <w:br/>
        <w:t xml:space="preserve">  President</w:t>
        <w:br/>
        <w:t>TCW INVESTMENT MANAGEMENT COMPANY LLC</w:t>
        <w:br/>
        <w:t xml:space="preserve">By:    </w:t>
        <w:br/>
        <w:t>Name:</w:t>
        <w:br/>
        <w:t xml:space="preserve">  Title:  </w:t>
        <w:br/>
        <w:t xml:space="preserve">  1 </w:t>
        <w:br/>
        <w:t>Original Agreement dated February 6, 2013, as amended.</w:t>
        <w:br/>
        <w:t>Amended and Restated September 18, 2020.</w:t>
        <w:br/>
        <w:t xml:space="preserve">  16</w:t>
        <w:br/>
        <w:t>AMENDMENT TO THE SUB-ADVISORY AGREEMENT</w:t>
        <w:br/>
        <w:t>THIS AMENDMENT to the Sub-Advisory Agreement is entered into as of July 1, 2023 (this “Amendment”) by and among GUIDESTONE FUNDS, a Delaware statutory trust (the “Trust”), GUIDESTONE CAPITAL MANAGEMENT, LLC, a limited liability company organized under the laws of the State of Texas (the “Adviser”) and TCW INVESTMENT MANAGEMENT COMPANY, LLC, a registered investment adviser organized under the laws of the State of Delaware (“Sub-Adviser”).</w:t>
        <w:br/>
        <w:t>WHEREAS, Sub-Adviser provides investment management services to the Trust pursuant to the Sub-Advisory Agreement, amended and restated as of September 18, 2020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Proxies. The Sub-Adviser shall not vote proxies on behalf of the Trust.</w:t>
        <w:br/>
        <w:t xml:space="preserve">    (b)</w:t>
        <w:br/>
        <w:t>Schedule B is hereby amended to delete “Updated proxy voting policy” from the reports to be provided by Sub-Adviser.</w:t>
        <w:br/>
        <w:t>3. GOVERNING LAW. This Amendment shall be construed and the substantive provisions hereof interpreted under and in accordance with the laws of the State of Delaware.</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 xml:space="preserve">  17</w:t>
        <w:br/>
        <w:t>IN WITNESS WHEREOF, the parties hereto have caused this Amendment to be executed by a duly authorized officer on one or more counterparts as of the date and year written above.</w:t>
        <w:br/>
        <w:t xml:space="preserve">  GUIDESTONE FUNDS</w:t>
        <w:br/>
        <w:t xml:space="preserve">By:    </w:t>
        <w:br/>
        <w:t>Name:   Xxxxx X. Xxxxx</w:t>
        <w:br/>
        <w:t>Title:   President</w:t>
        <w:br/>
        <w:t>GUIDESTONE CAPITAL MANAGEMENT, LLC</w:t>
        <w:br/>
        <w:t xml:space="preserve">By:    </w:t>
        <w:br/>
        <w:t>Name:   Xxxxxxx Xxxxxxxx</w:t>
        <w:br/>
        <w:t>Title:   Vice President – Investment Officer</w:t>
        <w:br/>
        <w:t>TCW INVESTMENT MANAGEMENT COMPANY, LLC</w:t>
        <w:br/>
        <w:t xml:space="preserve">By:    </w:t>
        <w:br/>
        <w:t xml:space="preserve">Name:  </w:t>
        <w:br/>
        <w:t xml:space="preserve">Title:  </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