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Causeway Capital Management LLC (the “Sub-Adviser”), a Delaware limited liability company, with the Sub-Adviser’s principal place of business at 00000 Xxxxx Xxxxxx Xxxx., 00xx Xxxxx, Xxx Xxxxxxx, Xxxxxxxxxx 00000.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in writing to the Sub-Adviser.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The Sub-Adviser promptly shall forward to the Adviser any information or documents necessary for the Adviser to exercise the Adviser’s proxy voting responsibilities if any such documents are received by the Sub-Adviser.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2 </w:t>
        <w:br/>
        <w:t xml:space="preserve">  (d)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Upon request, the Fund Books and Records shall be available to the Adviser and the Board at any time, shall be delivered to the Trust upon the termination of this Agreement, (provided, however, that Sub-Adviser may retain copies of any records to the extent required for it to comply with applicable laws),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promptly notify such individuals as may be provided by the Adviser in writing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assist in the Fund’s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3 </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w:t>
        <w:br/>
        <w:t xml:space="preserve">  3.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addition, the Sub-Adviser shall provide a quarterly report regarding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material compliance by the Sub-Adviser with the federal or state securities laws; or (ii) an actual change in control of the Sub-Adviser resulting in an “assignment” (as that term is defined in the 1940 Act) has occurred or otherwise is proposed to occur; provided however, that regulatory examinations believed to be routine shall not be required to be reported by this provision. Notwithstanding the foregoing, any non-material compliance matter or regulatory examination deemed to be routine, shall nonetheless be disclosed in the Sub-Adviser’s response to quarterly and other periodic questionnaires sent by the Trust’s Compliance group.</w:t>
        <w:br/>
        <w:t xml:space="preserve">4 </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(d)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5 </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6 </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in good faith to be fair and equitable over time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shall otherwise shall cooperate with and provide reasonable assistance to the Adviser, the Trust’s administrator, the Trust’s custodians and foreign custodians, the Trust’s transfer agent and pricing agents, and all other agents and representatives of the Trust.</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7 </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  (b)       ADV Disclosure. The Sub-Adviser has provided the Adviser and the Trust with a copy of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in each case insofar as they are provided to Sub-Adviser and contain information about the Sub-Adviser and its personnel (collectively the “Disclosure Documents”), and represents and warrants that information about the Sub-Adviser and its personnel in said Disclosure Documents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“Causeway Capital Management LLC”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“Catholic Responsible Investments” and “Causeway Capital Management LLC.”</w:t>
        <w:br/>
        <w:t xml:space="preserve">  (e)       Insurance. The Sub-Adviser maintains errors and omissions insurance coverage in an appropriate amount and shall provide: (i) written notice to the Trust of any material changes in the Sub-Adviser’s insurance policies or insurance coverage; and (ii) notice if any material claims are made on the Sub-Adviser’s insurance policies. Furthermore, the Sub-Adviser, upon reasonable request, shall provide the Trust with any information that the Sub-Adviser reasonably may require concerning the amount of or scope of said insurance.</w:t>
        <w:br/>
        <w:t xml:space="preserve">8 </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 subject to Sub-Adviser’s ability to aggregate transactions for the Fund as described in this Agreement.</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  9 </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“Causeway Capital Management LLC.” The Sub-Adviser grants to the Adviser and Trust a sub-license to use the name “Causeway Capital Management LLC”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the Sub-Adviser has the right to use, or authorize others to use, the Sub-Adviser Name.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of the Sub-Adviser, which approval shall not be unreasonably withheld or delayed. The Adviser hereby agrees to make all reasonable efforts to cause the Trust and any affiliate or agent of the Adviser to satisfy the foregoing obligation. The sub-license granted herein in regard to a Fund shall terminate in the event that the Sub-Adviser no longer is a sub-adviser to the Fund.</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quarterly in arrears by the Adviser. A Fund shall have no responsibility for any fee payable to the Sub-Adviser.</w:t>
        <w:br/>
        <w:t xml:space="preserve">  10 </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During the initial term for which this Agreement becomes effective, the fee provided in this Section shall be subject to a pro rata adjustment based on the number of days the Agreement is effective during the quarter. In the event of termination of this Agreement, the fee provided in this Section shall be computed on the basis of the period ending on the last business day on which this Agreement is in effect subject to a pro rata adjustment based on the number of days elapsed in the current quarter as a percentage of the total number of days in said quarter.</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11 </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Sub-Adviser.</w:t>
        <w:br/>
        <w:t xml:space="preserve">  (a)       The Sub-Adviser shall have responsibility for the accuracy and completeness (and liability for the lack thereof) of statements in a Fund’s Disclosure Documents relating to the Sub-Adviser and the Sub-Adviser’s affiliates, and other information specifically supplied by the Sub-Adviser for inclusion therein.</w:t>
        <w:br/>
        <w:t xml:space="preserve">  12 </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from time to time and provided to the Sub-Adviser;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and other information specifically supplied by Sub-Adviser for inclusion therein (including, but not limited to, information specifically supplied by the Sub-Adviser related to the Fund’s investment strategies), or the omission by the Sub-Adviser from a Disclosure Document of a material fact regarding the Sub-Adviser required to be stated therein or necessary to make the statements therein not misleading; or (iv) the Sub-Adviser’s performance or non-performance of the Sub-Adviser’s duties hereunder;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 The U.S. securities laws impose liabilities under certain circumstances on persons who act in good faith and, therefore, nothing herein shall in any way constitute a waiver or limitation of any rights which Adviser may have under any U.S. securities laws.</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13 </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third parties and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14 </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15 </w:t>
        <w:br/>
        <w:t xml:space="preserve">  20.       Paragraph Headings.</w:t>
        <w:br/>
        <w:t xml:space="preserve">  The headings of paragraphs contained in this Agreement are provided for convenience only, form no part of this Agreement, and shall not affect this Agreement’s construction.</w:t>
        <w:br/>
        <w:t xml:space="preserve">  21.       Counterparts.</w:t>
        <w:br/>
        <w:t xml:space="preserve">  This Agreement may be executed simultaneously in two or more counterparts, each of which shall be deemed an original, but all of which together shall constitute one and the same instrument.</w:t>
        <w:br/>
        <w:t xml:space="preserve">  [REMAINDER OF PAGE INTENTIONALLY LEFT BLANK]</w:t>
        <w:br/>
        <w:t xml:space="preserve">  16 </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CAUSEWAY CAPITAL MANAGEMENT LLC</w:t>
        <w:br/>
        <w:t xml:space="preserve">  By: /s/ Xxxxxx X. Xxxxxxxx  </w:t>
        <w:br/>
        <w:t xml:space="preserve">Name: Xxxxxx X. Xxxxxxxx  </w:t>
        <w:br/>
        <w:t xml:space="preserve">Title: Chief Operating Officer  </w:t>
        <w:br/>
        <w:t xml:space="preserve">  ACKNOWLEDGED &amp; ACCEPTED BY:</w:t>
        <w:br/>
        <w:t xml:space="preserve">  CATHOLIC RESPONSIBLE INVESTMENTS FUNDS</w:t>
        <w:br/>
        <w:t xml:space="preserve">  By: /s/ Xxxxxxx X. Xxxxxxx  </w:t>
        <w:br/>
        <w:t xml:space="preserve">  Name: Xxxxxxx X. Xxxxxxx  </w:t>
        <w:br/>
        <w:t xml:space="preserve">  Title: President  </w:t>
        <w:br/>
        <w:t xml:space="preserve">  17 </w:t>
        <w:br/>
        <w:t xml:space="preserve">  SCHEDULE A</w:t>
        <w:br/>
        <w:t>to the</w:t>
        <w:br/>
        <w:t>SUB-ADVISORY AGREEMENT</w:t>
        <w:br/>
        <w:t>dated November 17, 2021, between</w:t>
        <w:br/>
        <w:t xml:space="preserve">  CHRISTIAN BROTHERS INVESTMENT SERVICES, INC.</w:t>
        <w:br/>
        <w:t>and</w:t>
        <w:br/>
        <w:t>CAUSEWAY CAPITAL MANAGEMENT LLC</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 Rate</w:t>
        <w:br/>
        <w:t xml:space="preserve">        [Redacted]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