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Lazard Asset Management LLC (the “Sub-Adviser”), a Delaware limited liability company, with the Sub-Adviser’s principal place of business at 00 Xxxxxxxxxxx Xxxxx Xxx Xxxx, Xxx Xxxx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provided that the Sub-Adviser’s responsibility with respect to diversification and source of income requirements shall be limited to the Assets managed by the Sub-Adviser and that the Adviser shall be ultimately responsible for compliance with diversification and source of income requirements of the overall Fund.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 with respect to the Sub-Adviser’s oversight of the Assets managed by the Sub-Adviser.</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2 </w:t>
        <w:br/>
        <w:t xml:space="preserve">    The Sub-Adviser promptly shall forward to the Adviser any information or documents necessary for the Adviser to exercise the Adviser’s proxy voting responsibilities.</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an alleged violation by the Sub-Adviser of the federal or state securities laws where such violation involves the affairs of the Trust or the Sub-Adviser’s ability to perform its duties and obligations under this Agreement on behalf of the Trust or similar mandates; or (ii) an actual change in control of the Sub-Adviser resulting in an “assignment” (as that term is defined in the 1940 Act) has occurred or otherwise is proposed to occur.</w:t>
        <w:br/>
        <w:t xml:space="preserve">  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during regular business hours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5 </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6 </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7 </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“Lazard Asset Management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“Lazard Asset Management LLC.”</w:t>
        <w:br/>
        <w:t xml:space="preserve">  (e)       Insurance. The Sub-Adviser maintains errors and omissions insurance coverage in an appropriate amount. The Sub-Adviser shall provide written notice to the Trust of: (i) any material changes in the Sub-Adviser’s insurance policies or insurance coverage; or (ii) any material claims on the Sub-Adviser’s insurance policies, in each case only to the extent such change or claim would cause the preceding sentence to become untrue.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8 </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“Lazard Asset Management LLC.” The Sub-Adviser grants to the Adviser and Trust a sub-license to use the name “Lazard Asset Management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in writing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quarterly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During the initial term for which this Agreement becomes effective, the fee provided in this Section shall be subject to a pro rata adjustment based on the number of days the Agreement is effective during the quarter.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quarter as a percentage of the total number of days in said quarter.</w:t>
        <w:br/>
        <w:t xml:space="preserve">  10 </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11 </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subject to Section 1(b) herein (the investments described in this subsection (b) collectively are referred to as “Improper Investments”).</w:t>
        <w:br/>
        <w:t xml:space="preserve">  12 </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“Sub-Adviser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the Sub-Adviser’s performance or non-performance of the Sub-Adviser’s duties hereunder; provided, however, that nothing herein shall be deemed to protect any Sub-Adviser Indemnified Party who is a Trustee or officer of the Trust against any liability, including liability to the Trust or to the Trust’s shareholders, to which said Sub-Adviser Indemnified Party otherwise would be subject by reason of willful misfeasance, bad faith, gross negligence, or reckless disregard of the duties involved in the conduct of said person’s office with the Trust.</w:t>
        <w:br/>
        <w:t xml:space="preserve">  (d)       The Adviser shall indemnify and hold harmless the Sub-Adviser, each affiliated person of the Sub-Adviser within the meaning of Section 2(a)(3) of the 1940 Act, and each person who controls the Sub-Adviser within the meaning of Section 15 of the 1933 Act (any said person, a “Adviser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Adviser of this Agreement or of the representations and warranties made by the Adviser herein; (ii) any untrue statement of a material fact by the Adviser contained in any Disclosure Document, each Fund’s investment strategies and related risks, and other information supplied by Adviser for inclusion therein, or the omission by the Adviser from a Disclosure Document of a material fact regarding the Adviser or the Adviser’s investment program required to be stated therein or necessary to make the statements therein not misleading; or (iv) the Adviser’s performance or non-performance of the Adviser’s duties hereunder; provided, however, that nothing herein shall be deemed to protect any Adviser Indemnified Party against any liability to which said Adviser Indemnified Party otherwise would be subject by reason of willful misfeasance, bad faith, gross negligence, or reckless disregard of the duties involved in the conduct of said person.</w:t>
        <w:br/>
        <w:t xml:space="preserve">13 </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14 </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15 </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16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LAZARD ASSET MANAGEMENT LLC</w:t>
        <w:br/>
        <w:t xml:space="preserve">  By: /s/ Xxxxxx Xxxx  </w:t>
        <w:br/>
        <w:t xml:space="preserve">Name: Xxxxxx Xxxx  </w:t>
        <w:br/>
        <w:t xml:space="preserve">Title Chief Business Officer  </w:t>
        <w:br/>
        <w:t xml:space="preserve">  ACKNOWLEDGED &amp; ACCEPTED BY:</w:t>
        <w:br/>
        <w:t xml:space="preserve">  CATHOLIC RESPONSIBLE INVESTMENTS FUNDS</w:t>
        <w:br/>
        <w:t xml:space="preserve">  By: /s/ Xxxxxxx X. Xxxxxxx  </w:t>
        <w:br/>
        <w:t xml:space="preserve">Name: Xxxxxxx X. Xxxxxxx  </w:t>
        <w:br/>
        <w:t xml:space="preserve">Title: President  </w:t>
        <w:br/>
        <w:t xml:space="preserve">17 </w:t>
        <w:br/>
        <w:t xml:space="preserve">    SCHEDULE A</w:t>
        <w:br/>
        <w:t>to the</w:t>
        <w:br/>
        <w:t>SUB-ADVISORY AGREEMENT</w:t>
        <w:br/>
        <w:t>dated November 17, 2021, between</w:t>
        <w:br/>
        <w:t xml:space="preserve">  CHRISTIAN BROTHERS INVESTMENT SERVICES, INC.</w:t>
        <w:br/>
        <w:t>and</w:t>
        <w:br/>
        <w:t>LAZARD ASSET MANAGEMENT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