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SUBSCRIPTION AGREEMENT</w:t>
        <w:br/>
        <w:t xml:space="preserve">  This Subscription Agreement (“Agreement”) is made and entered into in this 1st day of December 2023 (“Effective Date”), by and between SportsMap Tech Acquisition Corp., a Delaware corporation, its successors and assigns (the “Company” and before the closing of the Business Combination, the “SPAC”), and the parties identified on the signature pages hereto (each, a “Purchaser” and collectively, the “Purchasers”).</w:t>
        <w:br/>
        <w:t xml:space="preserve">  RECITALS</w:t>
        <w:br/>
        <w:t xml:space="preserve">  WHEREAS, the Company entered into an Business Combination Agreement (as amended and as may be further amended, supplemented or otherwise modified from time to time, the “Business Combination Agreement”) with ICH Merger Sub Inc., a Delaware corporation and wholly-owned subsidiary of the Company (“Merger Sub”), and Infrared Cameras Holdings, Inc., a Delaware corporation (“ICI”);</w:t>
        <w:br/>
        <w:t xml:space="preserve">  WHEREAS, subject to the terms and conditions set forth in the Business Combination Agreement, upon the consummation of the transactions contemplated thereby, Merger Sub will merge with and into ICI, with ICI surviving as a wholly-owned subsidiary of the Company (the “Business Combination”), and with ICI’s equity holders receiving shares of the Company’s common stock, par value $0.0001 per share (the “Common Stock”), and other Company securities;</w:t>
        <w:br/>
        <w:t xml:space="preserve">  WHEREAS, the Company desires to obtain working capital, and each Purchaser has agreed to provide a portion of such capital in connection with the closing of the Business Combination and according to the terms hereof; and</w:t>
        <w:br/>
        <w:t xml:space="preserve">  WHEREAS, the Purchasers and the Company are entering into this Agreement to establish terms by which each Purchaser shall fund its Loan, as set forth herein and therein the related Note, described below, and the Company shall issue the warrants as set forth herein and therein the related Warrant, described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