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STEPSTONE PRIVATE CREDIT FUND LLC</w:t>
        <w:br/>
        <w:t xml:space="preserve">      FORM OF SUBSCRIPTION AGREEMENT</w:t>
        <w:br/>
        <w:t xml:space="preserve">      CONFIDENTIAL</w:t>
        <w:br/>
        <w:t xml:space="preserve">                THE LIMITED LIABILITY COMPANY INTERESTS (THE “SHARES”) OF STEPSTONE PRIVATE CREDIT FUND LLC HAVE NOT BEEN REGISTERED UNDER THE U.S. SECURITIES ACT OF 1933, AS AMENDED (THE “SECURITIES ACT”), OR REGISTERED OR QUALIFIED UNDER THE SECURITIES LAWS OF ANY U.S. STATES OR OTHER JURISDICTIONS, AND ARE BEING OFFERED AND SOLD IN RELIANCE ON EXEMPTIONS FROM THE REGISTRATION REQUIREMENTS OF THE SECURITIES ACT AND THE REGISTRATION AND QUALIFICATION REQUIREMENTS OF SUCH LAWS. THE SHARES ARE SUBJECT TO RESTRICTIONS ON TRANSFERABILITY AND RESALE AND MAY NOT BE TRANSFERRED OR RESOLD EXCEPT AS PERMITTED UNDER THE SECURITIES ACT AND SUCH LAWS PURSUANT TO REGISTRATION, QUALIFICATION OR EXEMPTION IN ADDITION, THE SHARES ARE SUBJECT TO THE CONTRACTUAL RESTRICTIONS ON RESALES DESCRIBED IN THIS . THE SHARES HAVE NOT BEEN APPROVED OR DISAPPROVED BY THE U.S. SECURITIES AND EXCHANGE COMMISSION OR BY ANY U.S. STATE OR OTHER SECURITIES COMMISSION OR OTHER REGULATORY AUTHORITY, NOR HAVE ANY OF THE FOREGOING AUTHORITIES PASSED UPON OR ENDORSED THE MERITS OF THIS OFFERING OR THE ACCURACY OR ADEQUACY OF THE OFFERING MATERIALS, AND ANY REPRESENTATION TO THE CONTRARY IS UNLAWFUL.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