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br/>
        <w:br/>
        <w:br/>
        <w:br/>
        <w:br/>
        <w:br/>
        <w:br/>
        <w:t xml:space="preserve"> </w:t>
        <w:br/>
        <w:t>FORM OF AMENDED AND RESTATED TRUST AGREEMENT</w:t>
        <w:br/>
        <w:t>(Issuer)</w:t>
        <w:br/>
        <w:t xml:space="preserve"> </w:t>
        <w:br/>
        <w:t>between</w:t>
        <w:br/>
        <w:t xml:space="preserve"> </w:t>
        <w:br/>
        <w:t>EFCAR, LLC</w:t>
        <w:br/>
        <w:t>Seller</w:t>
        <w:br/>
        <w:t xml:space="preserve"> </w:t>
        <w:br/>
        <w:t>and</w:t>
        <w:br/>
        <w:t xml:space="preserve"> </w:t>
        <w:br/>
        <w:t>WILMINGTON TRUST COMPANY</w:t>
        <w:br/>
        <w:t>Owner Trustee</w:t>
        <w:br/>
        <w:t xml:space="preserve"> </w:t>
        <w:br/>
        <w:br/>
        <w:t>Dated as of May 6, 2024</w:t>
        <w:br/>
        <w:br/>
        <w:br/>
        <w:br/>
        <w:t xml:space="preserve"> </w:t>
        <w:br/>
        <w:br/>
        <w:t>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t xml:space="preserve">  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br/>
        <w:br/>
        <w:br/>
        <w:br/>
        <w:br/>
        <w:br/>
        <w:br/>
        <w:t>-iii-</w:t>
        <w:br/>
        <w:t>This AMENDED AND RESTATED TRUST AGREEMENT, dated as of May 6, 2024, between EFCAR, LLC, a Delaware limited liability company, as depositor (the “Seller”), and WILMINGTON TRUST COMPANY, a Delaware trust company, as Owner Trustee, amends and restates in its entirety that certain Trust Agreement dated as of January 4, 2024, between the Seller and the Owner Trustee.</w:t>
        <w:br/>
        <w:t xml:space="preserve">  ARTICLE I.</w:t>
        <w:br/>
        <w:t xml:space="preserve">  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as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May 6,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2024-3, a Delaware statutory trust.</w:t>
        <w:br/>
        <w:t xml:space="preserve">  “Holding Trust Agreement” shall mean the Amended and Restated Trust Agreement dated as of May 6, 2024, between the Trust, as seller and Wilmington Trust Company, as owner trustee.</w:t>
        <w:br/>
        <w:t xml:space="preserve">  “Indemnified Parties” shall have the meaning assigned to such term in</w:t>
        <w:br/>
        <w:t>Section 7.2.</w:t>
        <w:br/>
        <w:t xml:space="preserve">  “Indenture” shall mean the Indenture dated as of May 6,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May 6,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t xml:space="preserve">  Organization</w:t>
        <w:br/>
        <w:t xml:space="preserve">  SECTION 2.1.  Name.</w:t>
        <w:br/>
        <w:t xml:space="preserve">  There is hereby continued a Delaware statutory trust to be known as “Exeter Automobile Receivables Trust 2024-3,”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t xml:space="preserve">  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t xml:space="preserve">  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t xml:space="preserve">  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$86,900,000 with CUSIP number 00000XXX0, the Class A-2 Notes in the initial principal amount of $205,000,000 with CUSIP number 00000XXX0, the Class A-3 Notes in the initial principal amount of $84,295,000 with CUSIP number 00000XXX0, the Class B Notes in the initial principal amount of $100,899,000 with CUSIP number 00000XXX0, the Class C Notes in the initial principal amount of $120,904,000 with CUSIP number 00000XXX0, the Class D Notes in the initial principal amount of $129,603,000 with CUSIP number 00000XXX0, Class E Notes in the initial principal amount of $87,852,000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t xml:space="preserve">  Concerning the Owner Trustee</w:t>
        <w:br/>
        <w:t xml:space="preserve">  SECTION 6.1.  Acceptance of Trusts and Duties.</w:t>
        <w:br/>
        <w:t xml:space="preserve">  The Owner Trustee accepts the trusts hexxxx xreated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t xml:space="preserve">  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t xml:space="preserve">  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                                                                            Name:</w:t>
        <w:br/>
        <w:t xml:space="preserve">    Title:</w:t>
        <w:br/>
        <w:t xml:space="preserve">        EFCAR, LLC,</w:t>
        <w:br/>
        <w:t xml:space="preserve">    as Seller</w:t>
        <w:br/>
        <w:t xml:space="preserve">              By:</w:t>
        <w:br/>
        <w:t xml:space="preserve">                                                                            Name:</w:t>
        <w:br/>
        <w:t xml:space="preserve">    Title:</w:t>
        <w:br/>
        <w:t xml:space="preserve"> </w:t>
        <w:br/>
        <w:br/>
        <w:t>ACKNOWLEDGED AND AGREED TO:</w:t>
        <w:br/>
        <w:br/>
        <w:br/>
        <w:t>EXETER FINANCE LLC,</w:t>
        <w:br/>
        <w:t>Solely with respect to Sections 7.1 and 7.2</w:t>
        <w:br/>
        <w:t xml:space="preserve">  By:                                                               </w:t>
        <w:br/>
        <w:t>Name:</w:t>
        <w:br/>
        <w:t>Title:</w:t>
        <w:br/>
        <w:br/>
        <w:br/>
        <w:br/>
        <w:br/>
        <w:br/>
        <w:br/>
        <w:t>[Amended and Restated Trust Agreement]</w:t>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t>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2024-3.</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2024-3 (the “Trust”) formed by EFCAR, LLC, a Delaware limited liability company (the “Seller”).</w:t>
        <w:br/>
        <w:t xml:space="preserve">  The Trust was created pursuant to a Trust Agreement dated as of January 4, 2024, as amended and restated as of May 6,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May 6, 2024, among the Trust, the Holding Trust, Citibank, N.A., as indenture trustee, are seven classes of Notes designated as “Class A-1 5.598% Asset Backed Notes” (“Class A-1 Notes”), “Class A-2 5.82% Asset Backed Notes” (“Class A-2 Notes”), “Class A-3 5.65% Asset Backed Notes” (“Class A-3 Notes” and, together with the Class A-1 Notes and the Class A-2 Notes, the “Class A Notes”), “Class B 5.57% Asset Backed Notes” (the “Class B Notes”), “Class C 5.70% Asset Backed Notes” (the “Class C Notes”), “Class D 5.98% Asset Backed Notes” (the “Class D Notes”) and “Class E 7.84% Asset Backed Notes” (the “Class E Notes” and, together with the Class A Notes, the Class B Notes, the Class C Notes and the Class D Notes, the “Notes”). This Certificate is issued under and is subject</w:t>
        <w:br/>
        <w:t xml:space="preserve">  A-2</w:t>
        <w:br/>
        <w:t>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May 6,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2024-3</w:t>
        <w:br/>
        <w:t xml:space="preserve">                  By:  </w:t>
        <w:br/>
        <w:t>WILMINGTON TRUST COMPANY,</w:t>
        <w:br/>
        <w:t xml:space="preserve">    not in its individual capacity but</w:t>
        <w:br/>
        <w:t xml:space="preserve">    solely as Owner Trustee</w:t>
        <w:br/>
        <w:t xml:space="preserve">                Dated: __________, 20___</w:t>
        <w:br/>
        <w:t xml:space="preserve">  By:  </w:t>
        <w:br/>
        <w:t xml:space="preserve">                                                                      Name:</w:t>
        <w:br/>
        <w:t xml:space="preserve">      Title:</w:t>
        <w:br/>
        <w:br/>
        <w:br/>
        <w:br/>
        <w:br/>
        <w:br/>
        <w:br/>
        <w:br/>
        <w:t>A-4</w:t>
        <w:br/>
        <w:t>CERTIFICATE REGISTRAR’S</w:t>
        <w:br/>
        <w:t>CERTIFICATE OF AUTHENTICATION</w:t>
        <w:br/>
        <w:t xml:space="preserve">  This is a Certificate referred to in the within-mentioned Trust Agreement.</w:t>
        <w:br/>
        <w:t xml:space="preserve"> </w:t>
        <w:br/>
        <w:t>WILMINGTON TRUST COMPANY, not in its individual capacity but solely as Certificate Registrar</w:t>
        <w:br/>
        <w:t xml:space="preserve">                    By:   </w:t>
        <w:br/>
        <w:t xml:space="preserve">         Authorized Signatory    </w:t>
        <w:br/>
        <w:br/>
        <w:br/>
        <w:br/>
        <w:br/>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A-10</w:t>
        <w:br/>
        <w:t>ASSIGNMENT</w:t>
        <w:br/>
        <w:t xml:space="preserve">  FOR VALUE RECEIVED the undersigned hereby sells, assigns and transfers unto</w:t>
        <w:br/>
        <w:t xml:space="preserve">  PLEASE INSERT SOCIAL SECURITY</w:t>
        <w:br/>
        <w:t>OR OTHER IDENTIFYING NUMBER</w:t>
        <w:br/>
        <w:t>OF ASSIGNEE</w:t>
        <w:br/>
        <w:br/>
        <w:t>(Please print or type name and address, including postal zip code, of assignee)</w:t>
        <w:br/>
        <w:br/>
        <w:t>the within Certificate Asset Backed Certificate No. R-__ issued by Exeter Automobile Receivables Trust 2024-3, and all rights thereunder, hereby irrevocably constituting and appointing</w:t>
        <w:br/>
        <w:t>______________________________ Attorney to transfer said Certificate on the books of the Certificate Registrar, with full power of substitution in the premises.</w:t>
        <w:br/>
        <w:t>Dated:</w:t>
        <w:br/>
        <w:t xml:space="preserve">  *</w:t>
        <w:br/>
        <w:t xml:space="preserve">  Signature</w:t>
        <w:br/>
        <w:t xml:space="preserve">  Guaranteed:</w:t>
        <w:br/>
        <w:t xml:space="preserve">  *</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br/>
        <w:br/>
        <w:br/>
        <w:t>A-11</w:t>
        <w:br/>
        <w:t>EXHIBIT B</w:t>
        <w:br/>
        <w:t xml:space="preserve">  FORM OF</w:t>
        <w:br/>
        <w:br/>
        <w:t>CERTIFICATE OF TRUST</w:t>
        <w:br/>
        <w:br/>
        <w:t>OF</w:t>
        <w:br/>
        <w:br/>
        <w:t>EXETER AUTOMOBILE RECEIVABLES TRUST 2024-3</w:t>
        <w:br/>
        <w:t xml:space="preserve"> </w:t>
        <w:br/>
        <w:t>THIS Certificate of Trust of EXETER AUTOMOBILE RECEIVABLES TRUST 2024-3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2024-3.”</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t xml:space="preserve">By:                                                                             </w:t>
        <w:br/>
        <w:t xml:space="preserve">      Name:</w:t>
        <w:br/>
        <w:t xml:space="preserve">      Title:</w:t>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