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(e)(vi)</w:t>
        <w:br/>
        <w:t xml:space="preserve">  FOURTH AMENDMENT</w:t>
        <w:br/>
        <w:t>TO UNDERWRITING AGREEMENT</w:t>
        <w:br/>
        <w:t xml:space="preserve">  This fourth amendment (the “Amendment”) to the Underwriting Agreement, as novated September 30, 2021 (the “Agreement”), by and between Foreside Funds Distributors LLC (“Foreside”), and FundVantage Trust (the “Trust”), is entered into as of December 2, 2022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the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Xxxxx   By: /s/ Xxxxxx Xxxxx</w:t>
        <w:br/>
        <w:t xml:space="preserve">  Xxxx X. Xxxxx     Xxxxxx Xxxxx</w:t>
        <w:br/>
        <w:t xml:space="preserve">  President     President</w:t>
        <w:br/>
        <w:t xml:space="preserve">        Exhibit A</w:t>
        <w:br/>
        <w:t xml:space="preserve">  Catenary V-Alternative Fund</w:t>
        <w:br/>
        <w:t>C WorldWide International Equities Fund</w:t>
        <w:br/>
        <w:t>EIC Value Fund</w:t>
        <w:br/>
        <w:t>Gotham Absolute Return Fund</w:t>
        <w:br/>
        <w:t>Gotham Defensive Long 500 Fund</w:t>
        <w:br/>
        <w:t>Gotham Enhanced 500 Plus Fund</w:t>
        <w:br/>
        <w:t>Gotham Enhanced Return Fund</w:t>
        <w:br/>
        <w:t>Gotham Enhanced S&amp;P 500 Index Fund</w:t>
        <w:br/>
        <w:t>Gotham ESG Large Value Fund</w:t>
        <w:br/>
        <w:t>Gotham Hedged Core Fund</w:t>
        <w:br/>
        <w:t>Gotham Hedged Plus Fund</w:t>
        <w:br/>
        <w:t>Gotham Index Plus Fund Gotham Large Value Fund</w:t>
        <w:br/>
        <w:t>Gotham Neutral Fund</w:t>
        <w:br/>
        <w:t>Gotham Short Strategies Fund</w:t>
        <w:br/>
        <w:t>Gotham Total Return Fund</w:t>
        <w:br/>
        <w:t>Madison Avenue Financial Solutions Government Money Market Fund</w:t>
        <w:br/>
        <w:t>Pacific Capital Tax-Free Securities Fund</w:t>
        <w:br/>
        <w:t>Pacific Capital Tax-Free Short Intermediate Securities Fund</w:t>
        <w:br/>
        <w:t>Xxxxx Global Emerging Markets Growth Fund</w:t>
        <w:br/>
        <w:t>Xxxxx Global Emerging Markets ex China Growth Fund</w:t>
        <w:br/>
        <w:t>Xxxxx Global Growth Fund</w:t>
        <w:br/>
        <w:t>Xxxxx Growth Fund</w:t>
        <w:br/>
        <w:t>Xxxxx International Growth Fund</w:t>
        <w:br/>
        <w:t>Xxxxx International Small Company Growth Fund</w:t>
        <w:br/>
        <w:t>Xxxxx U.S. Small Company Growth Fund</w:t>
        <w:br/>
        <w:t>Xxxxx U.S. XXXX Company Growth Fund</w:t>
        <w:br/>
        <w:t>Xxxxx Global XXXX Company Growth Fund</w:t>
        <w:br/>
        <w:t>Xxxxx China Growth Fund</w:t>
        <w:br/>
        <w:t>Private Capital Management Value Fund</w:t>
        <w:br/>
        <w:t>Quality Dividend Fund</w:t>
        <w:br/>
        <w:t>Sirios Focus Fund</w:t>
        <w:br/>
        <w:t>Sirios Long/Short Fund</w:t>
        <w:br/>
        <w:t>TOBAM Emerging Markets Fund</w:t>
        <w:br/>
        <w:t>C Worldwide Global Equities Fund</w:t>
        <w:br/>
        <w:t>Xxxxx Bank Loan Fund</w:t>
        <w:br/>
        <w:t>Xxxxx Upper Tier High Yield Fund</w:t>
        <w:br/>
        <w:t>Ambrus Core Bond Fund</w:t>
        <w:br/>
        <w:t>Ambrus Tax-Conscious California Bond Fund</w:t>
        <w:br/>
        <w:t>Ambrus Tax-Conscious National Bond Fund</w:t>
        <w:br/>
        <w:t>DuPont Capital Value Creators Large Cap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