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January 15, 2021</w:t>
        <w:br/>
        <w:t xml:space="preserve">  Xxxxxxxx Xxxx Alliance Holdings I, Inc.</w:t>
        <w:br/>
        <w:t>0 Xxxxxxxxxxxx Xxxx., Xxxxx 0</w:t>
        <w:br/>
        <w:t>Xxxx Xxxxxx, XX 00000</w:t>
        <w:br/>
        <w:t xml:space="preserve">  Re: Initial Public Offering</w:t>
        <w:br/>
        <w:t xml:space="preserve">  Ladies and Gentlemen:</w:t>
        <w:br/>
        <w:t xml:space="preserve">  This letter (this “Letter Agreement”) is being delivered to you in accordance with the Underwriting Agreement (the “Underwriting Agreement”) to be entered into by and among Xxxxxxxx Xxxx Alliance Holdings I, Inc., a Delaware corporation (the “Company”), and X.X. Xxxxxx Securities, LLC and Xxxxxx Xxxxxxx &amp; Co. LLC, as representatives (the “Representatives”) of the several underwriters (each, an “Underwriter” and collectively, the “Underwriters”), relating to an underwritten initial public offering (the “Public Offering”) of up to 27,600,000 of the Company’s units (including up to 3,600,000 units that may be purchased by the Underwriters to cover over-allotments, if any) (the “Units”), each comprising one share of the Company’s Class A common stock, par value $0.0001 per share (the “Common Stock”), and one-third of one redeemable warrant. Each whole warrant (each, a “Warrant”) entitles the holder thereof to purchase one share of Common Stock at a price of $11.50 per share, subject to adjustment. The Units will be sold in the Public Offering pursuant to a registration statement on Form S-1 and a prospectus (the “Prospectus”), filed by the Company with the U.S. Securities and Exchange Commission (the “Commission”) and the Company has applied to have the Units listed on the Nasdaq Capital Market. Certain capitalized terms used herein are defined in paragraph 11 hereof.</w:t>
        <w:br/>
        <w:t xml:space="preserve">  In order to induce the Company and the Underwriters to enter into the Underwriting Agreement and to proceed with the Public Offering and for other good and valuable consideration, the receipt and sufficiency of which are hereby acknowledged, HL Alliance Holdings Sponsor LLC (the “Sponsor”) and the undersigned individuals, each of whom is a member of the Company’s board of directors, a nominee for membership on the Company’s board of directors and/or a member of the Company’s management team (each, an “Insider” and collectively, the “Insiders”), hereby agrees with the Company as follows:</w:t>
        <w:br/>
        <w:t xml:space="preserve">  1. The Sponsor and each Insider hereby agrees that, in the event that the Company fails to consummate a Business Combination within 24 months from the closing of the Public Offering, or such later period approved by the Company’s stockholders in accordance with the Company’s amended and restated certificate of incorporation (the “Charter”), the Sponsor and each Insider shall take all reasonable steps to cause the Company to (i) cease all operations except for the purpose of winding up, (ii) as promptly as reasonably possible but not more than 10 business days thereafter, subject to lawfully available funds therefor, redeem 100% of the Common Stock sold as part of the Units in the Public Offering (the “Offering Shares”), at a per-share price, payable in cash, equal to the aggregate amount then on deposit in the Trust Account (as defined below), including interest earned on the funds held in the Trust Account and not previously released to the Company to pay its franchise and income taxes (less up to $100,000 of interest to pay dissolution expenses), divided by the number of then outstanding Offering Shares, which redemption will completely extinguish all Public Stockholders’ rights as stockholders of the Company (including the right to receive further liquidation distributions, if any), subject to applicable law, and (iii) as promptly as reasonably possible following such redemption, subject to the approval of the Company’s remaining stockholders and the Company’s board of directors, dissolve and liquidate, subject in each case to the Company’s obligations under Delaware law to provide for claims of creditors and other requirements of applicable law. The Sponsor and each Insider agrees not to propose any amendment to the Charter (a) to modify the substance or timing of the Company’s obligation to allow redemption in connection with a Business Combination or to redeem 100% of the Offering Shares if the Company does not complete a Business Combination within the time period set forth in the Charter or (b) with respect to any other provision relating to stockholders’ rights or pre-initial Business Combination activity, unless the Company provides Public Stockholders with the opportunity to redeem their shares of Common Stock upon approval of any such amendment at a per-share price, payable in cash, equal to the aggregate amount then on deposit in the Trust Account, including interest earned on the funds held in the Trust Account and not previously released to the Company to pay its franchise and income taxes (less up to $100,000 of interest to pay dissolution expenses), divided by the number of then outstanding Offering Shares.</w:t>
        <w:br/>
        <w:t xml:space="preserve">      The Sponsor and each Insider acknowledges that it, he or she has no right, title, interest or claim of any kind in or to any monies held in the Trust Account or any other asset of the Company as a result of any liquidation of the Company with respect to the Founder Shares held by it, him or her. The Sponsor and each Insider hereby agrees that if the Company seeks stockholder approval of a proposed Business Combination, then in connection with such proposed Business Combination, it, he or she shall vote any shares of Capital Stock owned by it, him or her in favor of any proposed Business Combination. The Sponsor and each Insider hereby waives, with respect to any shares of Common Stock held by it, him or her, if any, any redemption rights it, he or she may have in connection with the consummation of a Business Combination, including, without limitation, any such rights available in the context of (i) a stockholder vote to approve such Business Combination, or (ii) a stockholder vote to approve an amendment to the Charter (a) to modify the substance or timing of the Company’s obligation to allow redemption in connection with a Business Combination or to redeem 100% of the Offering Shares if the Company does not complete a Business Combination within the time period set forth in the Charter or (b) with respect to any other provision relating to stockholders’ rights or pre-initial Business Combination activity (although the Sponsor and the Insiders shall be entitled to liquidation rights with respect to any Offering Shares it or they hold if the Company fails to consummate a Business Combination within the time period set forth in the Charter). If the Company engages in a tender offer in connection with any proposed Business Combination, the Sponsor and each Insider agrees that it, he or she will not seek to sell its, his or her shares of Common Stock to the Company in connection with such tender offer.</w:t>
        <w:br/>
        <w:t xml:space="preserve">  2. The undersigned acknowledges and agrees that, prior to entering into a definitive agreement for a Business Combination with a target business that is affiliated with the undersigned or any other Insiders of the Company or their affiliates, such transaction must be approved by a majority of the Company’s disinterested independent directors and the Company will, to the extent required by applicable law or the Company’s board of directors, obtain an opinion from an independent investment banking firm or an independent accounting firm that such Business Combination is fair to the Company from a financial point of view.</w:t>
        <w:br/>
        <w:t xml:space="preserve">  3. During the period commencing on the effective date of the Underwriting Agreement and ending 180 days after such date, the Sponsor and each Insider shall not, without the prior written consent of the Representatives, (i) sell, offer to sell, contract or agree to sell, hypothecate, pledge, grant any option to purchase or otherwise dispose of or agree to dispose of, directly or indirectly, or establish or increase a put equivalent position or liquidate or decrease a call equivalent position within the meaning of Section 16 of the Securities Exchange Act of 1934, as amended (the “Exchange Act”), and the rules and regulations of the Commission promulgated thereunder, with respect to any Units, shares of Common Stock, Founder Shares, Warrants or any securities convertible into, or exercisable, or exchangeable for, shares of Common Stock (but excluding Units, Warrants and shares of Common Stock purchased in the Public Offering or thereafter) owned by it, him or her, (ii) enter into any swap or other arrangement that transfers to another, in whole or in part, any of the economic consequences of ownership of any Units, shares of Common Stock, Founder Shares, Warrants or any securities convertible into, or exercisable, or exchangeable for, shares of Common Stock owned by it, him or her, whether any such transaction is to be settled by delivery of such securities, in cash or otherwise, or (iii) publicly announce any intention to effect any transaction specified in clause (i) or (ii). The provisions of this paragraph will not apply if the release or waiver is effected solely to permit a transfer not for consideration and the transferee has agreed in writing to be bound by the same terms described in this Letter Agreement to the extent and for the duration that such terms remain in effect at the time of the transfer.</w:t>
        <w:br/>
        <w:t xml:space="preserve">  2</w:t>
        <w:br/>
        <w:t xml:space="preserve">    4. In the event of the liquidation of the Trust Account upon the failure of the Company to consummate its initial Business Combination within the time period set forth in the Charter, the Sponsor (the “Indemnitor”), which for purposes of clarification shall not extend to any other stockholders, members or managers of the Sponsor, or any of the other undersigned,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or (ii) any prospective target business with which the Company has entered into a written letter of intent, confidentiality or other similar agreement or Business Combination agreement (a “Target”); provided, however, that such indemnification of the Company by the Indemnitor shall (x) apply only to the extent necessary to ensure that such claims by a third party for services rendered (other than the Company’s independent public accountants) or products sold to the Company or a Target do not reduce the amount of funds in the Trust Account to below the lesser of (i) $10.00 per Offering Share and (ii) the actual amount per Offering Share held in the Trust Account as of the date of the liquidation of the Trust Account, if less than $10.00 per Offering Share is then held in the Trust Account due to reductions in the value of the trust assets, less interest earned on the funds in the Trust Account which may be withdrawn to pay franchise and income taxes, (y) not apply to any claims by a third party or a Target which executed a waiver of any and all rights to the monies held in the Trust Account (whether or not such waiver is enforceable) and (z) not apply to any claims under the Company’s indemnity of the Underwriters against certain liabilities, including liabilities under the Securities Act of 1933, as amended (the “Securities Act”). In the event that any such executed waiver is deemed to be unenforceable against such third party, the Indemnitor shall not be responsible to the extent of any liability for such third party claims.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w:t>
        <w:br/>
        <w:t xml:space="preserve">  5. To the extent that the Underwriters do not exercise their over-allotment option to purchase up to an additional 3,600,000 Units within 45 days from the date of the Prospectus (and as further described in the Prospectus) in full, the Sponsor agrees to forfeit, at no cost, (a) a number of Vested Founder Shares in the aggregate equal to 400,000 multiplied by a fraction (i) the numerator of which is 3,600,000 minus the number of Units purchased by the Underwriters upon the exercise of their over-allotment option, and (ii) the denominator of which is 3,600,000, and (b) a number of Contingent Founder Shares in the aggregate equal to 235,294 multiplied by a fraction (i) the numerator of which is 3,600,000 minus the number of Units purchased by the Underwriters upon the exercise of their over-allotment option, and (ii) the denominator of which is 3,600,000.</w:t>
        <w:br/>
        <w:t xml:space="preserve">  6. The Sponsor and each Insider hereby agrees and acknowledges that: (i) the Underwriters and the Company would be irreparably injured in the event of a breach by such Sponsor or an Insider of its, his or her obligations under paragraphs 1, 2, 3, 4, 5, 7(a), 7(b), 7(d) or 8 of this Letter Agreement, (ii) monetary damages may not be an adequate remedy for such breach and (iii) the non-breaching party shall be entitled to injunctive relief, in addition to any other remedy that such party may have in law or in equity, in the event of such breach.</w:t>
        <w:br/>
        <w:t xml:space="preserve">  7. (a) The Sponsor and each Insider agrees that it, he or she shall not Transfer any Founder Shares (or shares of Common Stock issuable upon conversion thereof) until the earlier of (A) one year after the completion of the Company’s initial Business Combination and (B) subsequent to the Business Combination, (x) if the last reported sale price of the Common Stock equals or exceeds $12.00 per share (as adjusted for stock splits, stock dividends, reorganizations, recapitalizations and the like) for any 20 trading days within any 30-trading day period commencing at least 150 days after the Company’s initial Business Combination or (y) the date on which the Company completes a liquidation, merger, capital stock exchange, reorganization or other similar transaction that results in all of the Company’s stockholders having the right to exchange their shares of Common Stock for cash, securities or other property (the “Founder Shares Lock-up Period”).</w:t>
        <w:br/>
        <w:t xml:space="preserve">  3</w:t>
        <w:br/>
        <w:t xml:space="preserve">    (b)           The Sponsor agrees that it shall not Transfer any Private Placement Warrants (or shares of Common Stock issued or issuable upon the exercise of the Private Placement Warrants), until 30 days after the completion of the Company’s initial Business Combination (the “Private Placement Warrants Lock-up Period”).</w:t>
        <w:br/>
        <w:t xml:space="preserve">  (c)            Notwithstanding the provisions set forth in paragraphs 7(a) and (b), Transfers of the Founder Shares, Private Placement Warrants and shares of Common Stock issued or issuable upon the exercise or conversion of the Private Placement Warrants or the Founder Shares and that are held by the Sponsor, any Insider or any of their permitted transferees (that have complied with this paragraph 7(c)), are permitted (a) to the Company’s officers or directors, any affiliates or family members of any of the Company’s officers or directors, any affiliate of the Sponsor or to any member(s) of the Sponsor, any affiliates of such members and funds and accounts advised by such members; (b) in the case of an individual, by gift to a member of such individual’s immediate family or to a trust, the beneficiary of which is a member of such individual’s immediate family, an affiliate of such individual or to a charitable organization; (c) in the case of an individual, by virtue of the laws of descent and distribution upon death of such person; (d) in the case of an individual, pursuant to a qualified domestic relations order; (e) by private sales or transfers made in connection with the consummation of an initial Business Combination at prices no greater than the price at which the securities were originally purchased; (f) in the event of the Company’s liquidation prior to the completion of an initial Business Combination; (g) by virtue of the laws of the State of Delaware or the Sponsor’s limited liability company agreement upon dissolution of the Sponsor; or (h) in the event of the Company’s liquidation, merger, capital stock exchange, reorganization or other similar transaction which results in all of the Company’s stockholders having the right to exchange their shares of Common Stock for cash, securities or other property subsequent to the completion of an initial Business Combination; provided, however, that, in the case of clauses (a) through (e) or (g), these permitted transferees must enter into a written agreement with the Company agreeing to be bound by the transfer restrictions herein.</w:t>
        <w:br/>
        <w:t xml:space="preserve">  (d)            Notwithstanding anything to the contrary contained herein, the Sponsor agrees that it shall not Transfer any Contingent Founder Shares (or shares of Common Stock issuable upon conversion thereof) until (A) with respect to half of the Contingent Founder Shares, if the last reported sale price of the Common Stock equals or exceeds $12.50 (as adjusted for stock splits, stock dividends, reorganizations, recapitalizations and the like) for any 20 trading days within any 30-trading day period commencing one year after the closing of the initial Business Combination until two years after the closing of our initial Business Combination, and (B) with respect to the remaining Contingent Founder Shares, if the last reported sale price of the Common Stock equals or exceeds $15.00 (as adjusted for stock splits, stock dividends, reorganizations, recapitalizations and the like) for any 20 trading days within any 30-trading day period commencing two years after the closing of the initial Business Combination until three years after the closing of the initial Business Combination (the “Contingent Founder Shares Lock-up Period”). The Sponsor agrees that it shall forfeit (i) one half of the Contingent Founder Shares, at no cost, to the extent the $12.50 trading price threshold described in clause (A) of this paragraph 7(d) is not met and (ii) one half of the Contingent Founder Shares, at no cost, to the extent the $15.00 trading price threshold described in clause (B) of this paragraph 7(d) is not met; for the avoidance of doubt, the restrictions contained in this paragraph 7(d) are in addition to the restrictions set forth under paragraph 7(a) hereof.</w:t>
        <w:br/>
        <w:t xml:space="preserve">  4</w:t>
        <w:br/>
        <w:t xml:space="preserve">    8. Each of the Insiders agrees to serve in such capacity until the earlier of the consummation by the Company of an initial Business Combination, the liquidation of the Company, or his or her removal, death or incapacity. The Sponsor and each Insider represents and warrants that it, he or she has never been suspended or expelled from membership in any securities or commodities exchange or association or had a securities or commodities license or registration denied, suspended or revoked. Each Insider’s biographical information furnished to the Company (including any such information included in the Prospectus) is true and accurate in all material respects and does not omit any material information with respect to the Insider’s background and contains all of the information required to be disclosed pursuant to Item 401 of Regulation S-K, promulgated under the Securities Act. Each Insider’s questionnaire furnished to the Company and the Representatives is true and accurate in all material respects. Each Insider represents and warrants that: it, he or she is not subject to or a respondent in any legal action for, any injunction, cease-and-desist order or order or stipulation to desist or refrain from any act or practice relating to the offering of securities in any jurisdiction; it, he or she has never been convicted of, or pleaded guilty to, any crime (i) involving fraud, (ii) relating to any financial transaction or handling of funds of another person, or (iii) pertaining to any dealings in any securities and it, he or she is not currently a defendant in any such criminal proceeding.</w:t>
        <w:br/>
        <w:t xml:space="preserve">  9. Except as disclosed in the Prospectus, neither the Sponsor nor any Insider, nor any affiliate of the Sponsor or any Insider, shall receive from the Company any finder’s fee, reimbursement, consulting fee, monies in respect of any repayment of a loan or other compensation prior to, or in connection with any services rendered in order to effectuate, the consummation of the Company’s initial Business Combination (regardless of the type of transaction that it is).</w:t>
        <w:br/>
        <w:t xml:space="preserve">  10. The Company, the Sponsor and each Insider represents and warrants, severally and not jointly, that it, he or she has full right and power, without violating any agreement to which it, he or she is bound (including, without limitation, any non-competition or non-solicitation agreement with any employer or former employer), to enter into this Letter Agreement and, as applicable, to serve as an officer and/or director on the board of directors of the Company and hereby consents to being named in the Prospectus as an officer and/or director of the Company.</w:t>
        <w:br/>
        <w:t xml:space="preserve">  11. As used herein, (i) “Business Combination” shall mean a merger, capital stock exchange, asset acquisition, stock purchase, reorganization or similar business combination, involving the Company and one or more businesses; (ii) “Capital Stock” shall mean, collectively, the Common Stock and the Founder Shares; (iii) “Contingent Founder Shares” shall mean the 1,803,922 shares of the Company’s Class B common stock, par value $0.0001 per share, initially issued to the Sponsor (up to 235,294 of which are subject to complete or partial forfeiture by the Sponsor if the over-allotment option is not exercised in full by the Underwriters), that are subject to the Transfer restrictions and the possibility of forfeiture by the Sponsor pursuant to paragraph 7(d) hereof; (iv) “Founder Shares” shall mean the Contingent Founder Shares and the Vested Founder Shares; (v) “Initial Stockholders” shall mean the Sponsor and any Insider that holds Founder Shares; (vi) “Private Placement Warrants” shall mean the Warrants to purchase up to 4,533,333 shares of Common Stock of the Company (or 5,013,333 shares of Common Stock if the over-allotment option is exercised in full by the Underwriters) that the Sponsor has agreed to purchase for an aggregate purchase price of $6,800,000 (or $7,520,000 if the over-allotment option is exercised in full by the Underwriters), or $1.50 per Warrant, in a private placement that shall occur simultaneously with the consummation of the Public Offering; (vii) “Public Stockholders” shall mean the holders of securities issued in the Public Offering; (viii) “Trust Account” shall mean the trust account into which the net proceeds of the Public Offering and certain proceeds from the sale of the Private Placement Warrants shall be deposited; (ix)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(x) “Vested Founder Shares” shall mean 3,066,666 shares of the Company’s Class B common stock, par value $0.0001 per share, initially issued to the Sponsor (up to 400,000 of which are subject to complete or partial forfeiture by the Sponsor if the over-allotment option is not exercised in full by the Underwriters), that are not subject to the Transfer restrictions and the possibility of forfeiture by the Sponsor pursuant to paragraph 7(d) hereof.</w:t>
        <w:br/>
        <w:t xml:space="preserve">  5</w:t>
        <w:br/>
        <w:t xml:space="preserve">    12. The Company will maintain an insurance policy or policies providing directors’ and officers’ liability insurance, and each Insider shall be covered by such policy or policies, in accordance with its or their terms, to the maximum extent of the coverage available for any of the Company’s directors or officers.</w:t>
        <w:br/>
        <w:t xml:space="preserve">  13.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 xml:space="preserve">  14.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Company, the Sponsor and each Insider and their respective successors, heirs and assigns and permitted transferees.</w:t>
        <w:br/>
        <w:t xml:space="preserve">  15. Nothing in this Letter Agreement shall be construed to confer upon, or give to, any person or corporation other than the parties hereto any right, remedy or claim under or by reason of this Letter Agreement or of any covenant, condition, stipulation, promise or agreement hereof. All covenants, conditions, stipulations, promises and agreements contained in this Letter Agreement shall be for the sole and exclusive benefit of the parties hereto and their successors, heirs, personal representatives and assigns and permitted transferees.</w:t>
        <w:br/>
        <w:t xml:space="preserve">  16. This Letter Agreement may be executed in any number of original, facsimile or other electronic counterparts and each of such counterparts shall for all purposes be deemed to be an original, and all such counterparts shall together constitute but one and the same instrument.</w:t>
        <w:br/>
        <w:t xml:space="preserve">  17.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 xml:space="preserve">  18.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in the courts of Wilmington, in the State of Delaware, and irrevocably submit to such jurisdiction and venue, which jurisdiction and venue shall be exclusive and (ii) waive any objection to such exclusive jurisdiction and venue or that such courts represent an inconvenient forum.</w:t>
        <w:br/>
        <w:t xml:space="preserve">  6</w:t>
        <w:br/>
        <w:t xml:space="preserve">    19.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or e-mail transmission.</w:t>
        <w:br/>
        <w:t xml:space="preserve">  20. This Letter Agreement shall terminate (a) with respect to each Insider, on the earlier of (i) the expiration of the Founder Shares Lock-up Period or (ii) the liquidation of the Company, and (b) with respect to the Sponsor, on the earlier of (i) the expiration of the Contingent Founder Shares Lock-up Period or (ii) the liquidation of the Company; provided that, in either case, paragraph 4 of this Letter Agreement shall survive such liquidation.</w:t>
        <w:br/>
        <w:t xml:space="preserve">  7</w:t>
        <w:br/>
        <w:t xml:space="preserve">      Sincerely,</w:t>
        <w:br/>
        <w:t xml:space="preserve">      HL ALLIANCE HOLDINGS SPONSOR LLC</w:t>
        <w:br/>
        <w:t xml:space="preserve">      By: /s/ Xxxx X. Xxxxx</w:t>
        <w:br/>
        <w:t xml:space="preserve">    Name: Xxxx X. Xxxxx</w:t>
        <w:br/>
        <w:t xml:space="preserve">    Title: Assistant Secretary</w:t>
        <w:br/>
        <w:t xml:space="preserve">      XXXXXX XXXXXXXXX</w:t>
        <w:br/>
        <w:t xml:space="preserve">      By: /s/ Xxxxxx Xxxxxxxxx</w:t>
        <w:br/>
        <w:t xml:space="preserve">  Name: Xxxxxx Xxxxxxxxx</w:t>
        <w:br/>
        <w:t xml:space="preserve">              XXXXX XXXXXXXX</w:t>
        <w:br/>
        <w:t xml:space="preserve">      By: /s/ Xxxxx Xxxxxxxx</w:t>
        <w:br/>
        <w:t xml:space="preserve">  Name: Xxxxx Xxxxxxxx</w:t>
        <w:br/>
        <w:t xml:space="preserve">          XXXXXX XXXXX</w:t>
        <w:br/>
        <w:t xml:space="preserve">      By: /s/ Xxxxxx Xxxxx</w:t>
        <w:br/>
        <w:t xml:space="preserve">  Name: Xxxxxx Xxxxx</w:t>
        <w:br/>
        <w:t xml:space="preserve">  Acknowledged and Agreed:  </w:t>
        <w:br/>
        <w:t xml:space="preserve">    XXXXXXXX XXXX ALLIANCE HOLDINGS I, INC.  </w:t>
        <w:br/>
        <w:t xml:space="preserve">    By: /s/ Xxxxxx Anigati (Xxxxxx)  </w:t>
        <w:br/>
        <w:t xml:space="preserve">  Name: Xxxxxx Anigati (Xxxxxx)  </w:t>
        <w:br/>
        <w:t xml:space="preserve">  Title: Chief Executive Officer  </w:t>
        <w:br/>
        <w:t xml:space="preserve">    [Signature Page to Insider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