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1.1</w:t>
        <w:br/>
        <w:t xml:space="preserve">  SENESTECH, INC.</w:t>
        <w:br/>
        <w:t xml:space="preserve">  [*] Shares of Common Stock</w:t>
        <w:br/>
        <w:t xml:space="preserve">  Warrants to Purchase up to [*] Shares of Common Stock</w:t>
        <w:br/>
        <w:t xml:space="preserve">  UNDERWRITING AGREEMENT</w:t>
        <w:br/>
        <w:t xml:space="preserve">  _____________, 2017</w:t>
        <w:br/>
        <w:t xml:space="preserve">  Xxxx Capital Partners, LLC</w:t>
        <w:br/>
        <w:t>000 Xxx Xxxxxxxx Xxxxx, Xxxxx 000</w:t>
        <w:br/>
        <w:t>Xxxxxxx Xxxxx, XX 00000</w:t>
        <w:br/>
        <w:t xml:space="preserve">  Ladies and Gentlemen:</w:t>
        <w:br/>
        <w:t xml:space="preserve">  SenesTech, Inc., a Delaware corporation (the “Company”), proposes, subject to the terms and conditions stated herein, to issue and sell to the underwriters named in Schedule I hereto (the “Underwriters,” or each, an “Underwriter”) , an aggregate of [*] authorized but unissued shares (the “Firm Shares”) of common stock, par value $0.001 per share (the “Common Stock”), of the Company and (ii) warrants (the “Firm Warrants”) to purchase up to an aggregate of [*] shares of Common Stock (the “Firm Warrant Shares”). The Company also proposes to sell to the Underwriters, upon the terms and conditions set forth in Section 4 hereof, up to an additional (i) [*] shares of Common Stock (the “Option Shares”) and warrants (the “Option Warrants”) to purchase up to an aggregate of [*] shares of Common Stock (the “Option Warrant Shares” and together with the Firm Warrant Shares, the “Warrant Shares”). The Firm Shares and the Option Shares are hereinafter collectively referred to as the “Shares” and the Firm Warrants and the Option Warrants are collectively referred to as the “Warrants”. The Shares, the Warrants, and the Warrant Shares are collectively referred to as the “Securities.” The Firm Shares and the Firm Warrants shall be sold together as a fixed combination, each consisting of one share of Common Stock and one Warrant. The Option Shares and the Option Warrants shall be sold together as a fixed combination, each consisting of one share of Common Stock and one Warrant. The Shares and the Warrants shall be immediately separable and transferable upon issuance.</w:t>
        <w:br/>
        <w:t xml:space="preserve">  The Company also confirms its agreement that, in partial consideration for the Underwriters’ services hereunder, the Company will cause warrants (the “Underwriters’ Warrants”) to be issued to the Underwriters for the purchase of an aggregate of [*] shares of Common Stock (the “Underwriters’ Warrant Shares”), with such additional terms and provisions as may be set forth in the form of warrant agreement attached hereto as Exhibit A (the “Underwriters’ Warrant Agreement”).</w:t>
        <w:br/>
        <w:t xml:space="preserve">  The Company and the several Underwriters hereby confirm their agreement as follows:</w:t>
        <w:br/>
        <w:t xml:space="preserve">        1.            Registration Statement and Prospectus.</w:t>
        <w:br/>
        <w:t xml:space="preserve">  The Company has prepared and filed with the Securities and Exchange Commission (the “Commission”) a registration statement covering the Securities on Form S-1 (File No. 333-[______________] under the Securities Act of 1933, as amended (the “Securities Act”), and the rules and regulations (the “Rules and Regulations”) of the Commission thereunder and such amendments to such registration statement (including post effective amendments) as may have been required to the date of this Agreement. Such registration statement, as amended (including any post effective amendments), has been declared effective by the Commission. Such registration statement, including amendments thereto (including post effective amendments thereto) and all documents and information deemed to be a part of the Registration Statement through incorporation by reference or otherwise at the time of effectiveness of the Registration Statement (the “Effective Time”), the exhibits and any schedules thereto at the Effective Time or thereafter during the period of effectiveness and the documents and information otherwise deemed to be a part thereof or included therein by the Securities Act or otherwise pursuant to the Rules and Regulations at the Effective Time or thereafter during the period of effectiveness, is herein called the “Registration Statement.” If the Company has filed or files an abbreviated registration statement pursuant to Rule 462(b) under the Securities Act (the “Rule 462 Registration Statement”), then any reference herein to the term Registration Statement shall include such Rule 462 Registration Statement. Any preliminary prospectus included in the Registration Statement or filed with the Commission pursuant to Rule 424(a) under the Securities Act is hereinafter called a “Preliminary Prospectus.” The last Preliminary Prospectus relating to the Securities that was filed with the Commission pursuant to Rule 424(a) prior to the pricing of the offering contemplated hereby is hereinafter called the “Pricing Prospectus.”</w:t>
        <w:br/>
        <w:t xml:space="preserve">  The Company is filing with the Commission pursuant to Rule 424 under the Securities Act a final prospectus relating to the Securities, which includes the information permitted to be omitted therefrom at the Effective Time by Rule 430A under the Securities Act. Such final prospectus, as so filed, is hereinafter called the “Final Prospectus.” The Final Prospectus, the Pricing Prospectus and any Preliminary Prospectus in the form in which they were included in the Registration Statement or filed with the Commission pursuant to Rule 424 under the Securities Act is hereinafter called a “Prospectus.” Reference made herein to any Prospectus shall be deemed to refer to and include any documents incorporated by reference therein and any reference to any amendment or supplement to any Prospectus shall be deemed to refer to and include any document filed under the Securities Exchange Act of 1934, as amended (the “Exchange Act”), and the rules and regulations of the Commissions thereunder, incorporated by reference in such Prospectus, as the case may be.</w:t>
        <w:br/>
        <w:t xml:space="preserve">  2.            Representations and Warranties Regarding the Offering.</w:t>
        <w:br/>
        <w:t xml:space="preserve">  (a)          Underwriter Representations and Warranties. The Underwriters represent and warrant to the Company, severally and not jointly, as of the date hereof and as of the Closing Date (as defined in Section 4(d) below) and as of each Option Closing Date (as defined in Section 4(b) below), as follows:</w:t>
        <w:br/>
        <w:t xml:space="preserve">    -2-  </w:t>
        <w:br/>
        <w:t xml:space="preserve">    (i)          Testing-the-Waters Communications. Each Underwriter (i) has not engaged in any Testing-the-Waters Communication with respect to the offering contemplated by this agreement, other than Testing-the-Waters Communications with entities that are qualified institutional buyers within the meaning of Rule 144A under the Securities Act or accredited institutional investors within the meaning of Rule 501 under the Securities Act, and (ii) has not authorized anyone to engage in any Testing-the-Waters Communications with respect to the offering contemplated by this agreement. Each Underwriter has not distributed any Testing-the-Waters Communication with respect to the offering contemplated by this agreement that is a written communication within the meaning of Rule 405 under the Securities Act (“Written Testing-the-Waters Communications”), other than those previously provided by the Company and listed on Schedule IV hereto. “Testing-the-Waters Communication” means any oral or written communication with potential investors undertaken in reliance on Section 5(d) of the Securities Act. Each Written Testing-the-Waters Communications with respect to the offering contemplated by this agreement, did not, at the time of disclosure and at all times through the completion of the public offer and sale of the Securities will not, include any information that conflicted, conflicts or will conflict with the information contained in the Registration Statement, the Time of Sale Disclosure Package and the Final Prospectus.</w:t>
        <w:br/>
        <w:t xml:space="preserve">  (b)          Company Representations and Warranties. The Company represents and warrants to, and agrees with, the several Underwriters, as of the date hereof and as of the Closing Date (as defined in Section 4(d) below) and as of each Option Closing Date (as defined in Section 4(b) below), as follows:</w:t>
        <w:br/>
        <w:t xml:space="preserve">  (i)          No Material Misstatements or Omissions. At each time of effectiveness, at the date hereof, at the Closing Date, and at each Option Closing Date, if any, the Registration Statement and any post-effective amendment thereto complied or will comply in all material respects with the requirements of the Securities Act and the Rules and Regulations and did not, does not, and will not, as the case may be, contain any untrue statement of a material fact or omit to state a material fact required to be stated therein or necessary to make the statements therein not misleading. The Time of Sale Disclosure Package (as defined in Section 2(b)(v)(A) below) as of the date hereof and at the Closing Date and on each Option Closing Date, if any, and the Final Prospectus, as amended or supplemented, as of its date, at the time of filing pursuant to Rule 424(b) under the Securities Act, at the Closing Date, and at each Option Closing Date, if any, and any individual Written Testing-the-Waters Communication, when considered together with the Time of Sale Disclosure Package, did not, does not and will not contain any untrue statement of a material fact or omit to state a material fact required to be stated therein or necessary to make the statements therein, in the light of the circumstances under which they were made, not misleading. The representations and warranties set forth in the two immediately preceding sentences shall not apply to statements in or omissions from the Registration Statement, the Time of Sale Disclosure Package, or any Prospectus in reliance upon, and in conformity with, written information furnished to the Company by any Underwriter specifically for use in the preparation thereof, which written information is described in Section 7(f). The Registration Statement contains all exhibits and schedules required to be filed by the Securities Act or the Rules and Regulations. No order preventing or suspending the effectiveness or use of the Registration Statement or any Prospectus is in effect and no proceedings for such purpose have been instituted or are pending, or, to the knowledge of the Company, are contemplated or threatened by the Commission.</w:t>
        <w:br/>
        <w:t xml:space="preserve">    -3-  </w:t>
        <w:br/>
        <w:t xml:space="preserve">    (ii)         Marketing Materials. The Company has not distributed any prospectus or other offering material in connection with the offering and sale of the Securities other than the Time of Sale Disclosure Package and the roadshow or investor presentations delivered to and approved by the Underwriters for use in connection with the marketing of the offering of the Securities (the “Marketing Materials”).</w:t>
        <w:br/>
        <w:t xml:space="preserve">  (iii)        Emerging Growth Company. The Company is an “emerging growth company,” as defined in Section 2(a) of the Securities Act (an “Emerging Growth Company”).</w:t>
        <w:br/>
        <w:t xml:space="preserve">  (iv)        Testing-the-Waters Communications. The Company (i) has not engaged in any Testing-the-Waters Communication with respect to the offering contemplated by this agreement, other than Testing-the-Waters Communications with entities that are qualified institutional buyers within the meaning of Rule 144A under the Securities Act or accredited institutional investors within the meaning of Rule 501 under the Securities Act, and (ii) has not authorized anyone to engage in any Testing-the-Waters Communications with respect to the offering contemplated by this agreement. The Company has not distributed any Written Testing-the-Waters Communication, other than those previously provided to the Underwriters and listed on Schedule IV hereto. Each Written Testing-the-Waters Communications with respect to the offering contemplated by this agreement, did not, at the time of disclosure and at all times through the completion of the public offer and sale of the Securities will not, include any information that conflicted, conflicts or will conflict with the information contained in the Registration Statement, the Time of Sale Disclosure Package and the Final Prospectus.</w:t>
        <w:br/>
        <w:t xml:space="preserve">  (v)         Accurate Disclosure. (A) The Company has provided a copy to the Underwriters of each Issuer Free Writing Prospectus (as defined below) used in the sale of Securities.  The Company has filed all Issuer Free Writing Prospectuses required to be so filed with the Commission, and no order preventing or suspending the effectiveness or use of any Issuer Free Writing Prospectus is in effect and no proceedings for such purpose have been instituted or are pending, or, to the knowledge of the Company, are contemplated or threatened by the Commission.  When taken together with the rest of the Time of Sale Disclosure Package and the Final Prospectus,  no Issuer Free Writing Prospectus, as of its issue date and at all subsequent times though the completion of the public offer and sale of Securities, has, does or will include (1) any untrue statement of a material fact or omission to state any material fact necessary in order to make the statements therein, in the light of the circumstances under which they were made, not misleading, or (2) information that conflicted, conflicts or will conflict with the information contained in the Registration Statement, the Time of Sale Disclosure Package and the Final Prospectus. The representations and warranties set forth in the immediately preceding sentence shall not apply to statements in or omissions from the Time of Sale Disclosure Package, the Final Prospectus or any Issuer Free Writing Prospectus in reliance upon, and in conformity with, written information furnished to the Company by any Underwriter specifically for use in the preparation thereof, which written information is described in Section 7(f).  As used in this paragraph and elsewhere in this Agreement:</w:t>
        <w:br/>
        <w:t xml:space="preserve">    -4-  </w:t>
        <w:br/>
        <w:t xml:space="preserve">    (1)         “Time of Sale Disclosure Package” means the Prospectus most recently filed with the Commission before the time of this Agreement, each Issuer Free Writing Prospectus, and, if applicable, the description of the transaction provided by the Underwriters included on Schedule II.</w:t>
        <w:br/>
        <w:t xml:space="preserve">  (2)         “Issuer Free Writing Prospectus” means any “issuer free writing prospectus,” as defined in Rule 433 under the Securities Act, relating to the Securities that (A) is required to be filed with the Commission by the Company, or (B) is exempt from filing pursuant to Rule 433(d)(5)(i) or (d)(8) under the Securities Act, in each case in the form filed or required to be filed with the Commission or, if not required to be filed, in the form retained in the Company’s records pursuant to Rule 433(g) under the Securities Act.</w:t>
        <w:br/>
        <w:t xml:space="preserve">  (B)         At the time of filing of the Registration Statement and at the date hereof, the Company was not and is not an “ineligible issuer,” as defined in Rule 405 under the Securities Act or an “excluded issuer” as defined in Rule 164 under the Securities Act.</w:t>
        <w:br/>
        <w:t xml:space="preserve">  (C)         Each Issuer Free Writing Prospectus listed on Schedule III, if any, satisfied, as of its issue date and at all subsequent times through the Prospectus Delivery Period, all other conditions as may be applicable to its use as set forth in Rules 164 and 433 under the Securities Act, including any legend, record-keeping or other requirements.</w:t>
        <w:br/>
        <w:t xml:space="preserve">  (vi)        Financial Statements. The financial statements of the Company, together with the related notes and schedules, included or incorporated by reference in the Registration Statement, the Time of Sale Disclosure Package and the Final Prospectus comply in all material respects with the applicable requirements of the Securities Act and the Exchange Act, and the rules and regulations of the Commission thereunder, and fairly present in all material respects the financial condition of the Company as of the dates indicated and the results of operations and changes in cash flows for the periods therein specified in conformity with U.S. generally accepted accounting principles (“GAAP”) consistently applied throughout the periods involved. No other financial statements, pro forma financial information or schedules are required under the Securities Act, the Exchange Act, or the Rules and Regulations to be included or incorporated by reference in the Registration Statement, the Time of Sale Disclosure Package or the Final Prospectus.</w:t>
        <w:br/>
        <w:t xml:space="preserve">  (vii)       Independent Accountants. To the Company’s knowledge, M&amp;K CPAs, PLLC, which has expressed its opinion with respect to the financial statements and schedules incorporated by reference as a part of the Registration Statement and incorporated by reference in the Registration Statement, the Time of Sale Disclosure Package and the Final Prospectus, is an independent registered public accounting firm with respect to the Company within the meaning of the Securities Act and the Rules and Regulations.</w:t>
        <w:br/>
        <w:t xml:space="preserve">    -5-  </w:t>
        <w:br/>
        <w:t xml:space="preserve">    (viii)      Accounting Controls. The Company maintains systems of “internal control over financial reporting” (as defined under Rules 13a-15 and 15d-15 under the Exchange Act) that have been designed by, or under the supervision of, their respective principal executive and principal financial officers, or persons performing similar functions, to provide reasonable assurance regarding the reliability of financial reporting and the preparation of financial statements for external purposes in accordance with GAAP, including, but not limited to, internal accounting controls sufficient to provide reasonable assurance that (i) transactions are executed in accordance with management’s general or specific authorizations; (ii) transactions are recorded as necessary to permit preparation of financial statements in conformity with GAAP and to maintain asset accountability; (iii) access to assets is permitted only in accordance with management’s general or specific authorization; (iv) the recorded accountability for assets is compared with the existing assets at reasonable intervals and appropriate action is taken with respect to any differences; and (v) the interactive data in eXtensible Business Reporting Language included or incorporated by reference in the Registration Statement, the Time of Sale Disclosure Package and the Final Prospectus fairly present the information called for in all material respects and are prepared in accordance with the Commission’s rules and guidelines applicable thereto in all material respects, in each case, to the extent applicable to an Emerging Growth Company and a Smaller Reporting Company as defined in Section 12b-2 of the Exchange Act. Since the date of the latest audited financial statements incorporated by reference in the Registration Statement, the Time of Sale Disclosure Package and the Final Prospectus, there has been no change in the Company’s internal control over financial reporting that has materially affected, or is reasonably likely to materially affect, the Company’s internal control over financial reporting.</w:t>
        <w:br/>
        <w:t xml:space="preserve">  (ix)         Forward-Looking Statements. The Company had a reasonable basis for, and made in good faith, each “forward-looking statement” (within the meaning of Section 27A of the Securities Act or Section 21E of the Exchange Act) contained or incorporated by reference in the Registration Statement, the Time of Sale Disclosure Package, the Final Prospectus or the Marketing Materials, in each case at the time such “forward-looking” statement was made.</w:t>
        <w:br/>
        <w:t xml:space="preserve">  (x)          Statistical and Marketing-Related Data. All statistical or market-related data included or incorporated by reference in the Registration Statement, the Time of Sale Disclosure Package and the Final Prospectus, or included in the Marketing Materials, are based on or derived from sources that the Company reasonably believes to be reliable and accurate, and the Company has obtained the written consent to the use of such data from such sources, to the extent required.</w:t>
        <w:br/>
        <w:t xml:space="preserve">  (xi)         Trading Market. The Common Stock is registered pursuant to Section 12(b) of the Exchange Act and is approved for listing on the Nasdaq Capital Market (“Nasdaq”). There is no action pending by the Company or, to the Company’s knowledge, Nasdaq to delist the Common Stock from Nasdaq, nor has the Company received any notification that Nasdaq is contemplating terminating such listing. When issued, the Shares and the Warrant Shares will be listed on Nasdaq.</w:t>
        <w:br/>
        <w:t xml:space="preserve">    -6-  </w:t>
        <w:br/>
        <w:t xml:space="preserve">    (xii)        Absence of Manipulation. The Company has not taken, directly or indirectly, any action that is designed to or that has constituted or that would reasonably be expected to cause or result in the stabilization or manipulation of the price of any security of the Company to facilitate the sale or resale of the Securities.</w:t>
        <w:br/>
        <w:t xml:space="preserve">  (xiii)       Investment Company Act. The Company is not and, after giving effect to the offering and sale of the Securities and the application of the net proceeds thereof, including the proceeds received upon the exercise of the Warrants, will not be an “investment company,” as such term is defined in the Investment Company Act of 1940, as amended.</w:t>
        <w:br/>
        <w:t xml:space="preserve">  3.            Representations and Warranties Regarding the Company.</w:t>
        <w:br/>
        <w:t xml:space="preserve">  (a)          The Company represents and warrants to, and agrees with, the several Underwriters, as of the date hereof and as of the Closing Date and as of each Option Closing Date, as follows:</w:t>
        <w:br/>
        <w:t xml:space="preserve">  (i)          Good Standing. The Company has been duly organized and is validly existing as a corporation or other entity in good standing under the laws of its jurisdiction of incorporation. The Company has the power and authority (corporate or otherwise) to own its properties and conduct its business as currently being carried on and as described in the Registration Statement, the Time of Sale Disclosure Package and the Final Prospectus, and is duly qualified to do business as a foreign corporation or other entity in good standing in each jurisdiction in which it owns or leases real property or in which the conduct of its business makes such qualification necessary, except where the failure to so qualify would not have or be reasonably likely to result in a material adverse effect upon the business, prospects, properties, operations, condition (financial or otherwise) or results of operations of the Company, taken as a whole, or in its ability to perform its obligations under this Agreement (“Material Adverse Effect”).</w:t>
        <w:br/>
        <w:t xml:space="preserve">  (ii)         Authorization. The Company has the power and authority to enter into this Agreement and the Warrants and to authorize, issue and sell the Shares and the Warrant Shares as contemplated by this Agreement and the Warrants. This Agreement and the Warrants have been duly authorized by the Company, and when executed and delivered by the Company, will constitute the valid, legal and binding obligations of the Company, enforceable against the Company in accordance with their respective terms, except as rights to indemnity hereunder may be limited by federal or state securities laws and except as such enforceability may be limited by bankruptcy, insolvency, reorganization or similar laws affecting the rights of creditors generally and subject to general principles of equity.</w:t>
        <w:br/>
        <w:t xml:space="preserve">    -7-  </w:t>
        <w:br/>
        <w:t xml:space="preserve">    (iii)        Contracts. The execution, delivery and performance of this Agreement and the Warrants and the consummation of the transactions herein contemplated will not (A) result in a breach or violation of any of the terms and provisions of, or constitute a default under, any law, order, rule or regulation to which the Company is subject, or by which any property or asset of the Company is bound or affected, except to the extent such breach, violation or default is not reasonably likely to have a Material Adverse Effect, (B) conflict with, result in any violation or breach of, or constitute a default (or an event that with notice or lapse of time or both would become a default) under, or give to others any right of termination, amendment, acceleration or cancellation (with or without notice, lapse of time or both) (a “Default Acceleration Event”) of, any agreement, lease, credit facility, debt, note, bond, mortgage, indenture or other instrument (the “Contracts”) or obligation or other understanding to which the Company is a party or by which any property or asset of the Company is bound or affected, except to the extent that such conflict, default, or Default Acceleration Event is not reasonably likely to result in a Material Adverse Effect, or (C) result in a breach or violation of any of the terms and provisions of, or constitute a default under, the Company’s Certificate of Incorporation, as amended, or by-laws, as amended.</w:t>
        <w:br/>
        <w:t xml:space="preserve">  (iv)        No Violations of Governing Documents. The Company is not in violation, breach or default under its Certificate of Incorporation, as amended, by-laws, as amended, or other equivalent organizational or governing documents.</w:t>
        <w:br/>
        <w:t xml:space="preserve">  (v)         Consents. No consents, approvals, orders, authorizations or filings are required on the part of the Company in connection with the execution, delivery or performance of this Agreement and the Warrants and the issue and sale of the Securities, except (A) the registration under the Securities Act of the Securities, which has been effected, (B) the necessary filings and approvals from Nasdaq to list the Shares and the Warrant Shares, (C) such consents, approvals, authorizations, registrations or qualifications as may be required under state or foreign securities or Blue Sky laws and the rules of the Financial Industry Regulatory Authority, Inc. (“FINRA”) in connection with the purchase and distribution of the Securities by the several Underwriters, (D) such consents and approvals as have been obtained and are in full force and effect, and (E) such consents, approvals, orders, authorizations and filings the failure of which to make or obtain is not reasonably likely to result in a Material Adverse Effect.</w:t>
        <w:br/>
        <w:t xml:space="preserve">  (vi)        Capitalization; Subsidiaries. The Company has an authorized capitalization as set forth in the Registration Statement, the Time of Sale Disclosure Package and the Final Prospectus. All of the issued and outstanding shares of capital stock of the Company are duly authorized and validly issued, fully paid and nonassessable, and have been issued in compliance with all applicable securities laws, and conform in all material respects to the description thereof in the Registration Statement, the Time of Sale Disclosure Package and the Final Prospectus. Except for the issuances of options or restricted stock in the ordinary course of business, since the respective dates as of which information is provided in the Registration Statement, the Time of Sale Disclosure Package and the Final Prospectus, the Company has not entered into or granted any convertible or exchangeable securities, options, warrants, agreements, contracts or other rights in existence to purchase or acquire from the Company any shares of the capital stock of the Company. The Shares, when issued and paid for as provided herein, will be duly authorized and validly issued, fully paid and nonassessable, will be issued in compliance with all applicable securities laws, and will be free of preemptive, registration or similar rights and will conform to the description of the capital stock of the Company contained in the Registration Statement, the Time of Sale Disclosure Package and the Final Prospectus. The Warrant Shares, when issued, paid for and delivered upon due exercise of the Warrants, will be duly authorized and validly issued, fully paid and nonassessable, will be issued in compliance with all applicable securities laws, and will be free of preemptive, registration or similar rights. The Warrant Shares have been reserved for issuance. The Warrants, when issued, will conform in all material respects to the descriptions thereof set forth in the Registration Statement, the Time of Sale Disclosure Package and the Final Prospectus. The Company has no “Subsidiary” as such term is defined in Rule 1-02(x) of Regulation S-X of the Commission.</w:t>
        <w:br/>
        <w:t xml:space="preserve">    -8-  </w:t>
        <w:br/>
        <w:t xml:space="preserve">    (vii)       Taxes. The Company has (a) filed all foreign, federal, state and local tax returns (as hereinafter defined) required to be filed with taxing authorities for the seven fiscal years prior to the date hereof or has duly obtained extensions of time for the filing thereof except insofar as the failure to file such returns would not result in a Material Adverse Effect, and (b) paid all taxes (as hereinafter defined) shown as due on such returns that were filed and has paid all taxes imposed on or assessed against the Company, except, in all cases, for any such amounts that the Company is contesting in good faith and for which appropriate reserves have been established on the Company’s books and records or to the extent that any inadequacy that would not result in a Material Adverse Effect. The provisions for taxes payable, if any, shown on the financial statements included or incorporated by reference in the Registration Statement, the Time of Sale Disclosure Package and the Final Prospectus are sufficient for all accrued and unpaid taxes, whether or not disputed, and for all periods to and including the dates of such consolidated financial statements. To the knowledge of the Company, no issues have been raised (and are currently pending) by any taxing authority in connection with any of the returns or taxes asserted as due from the Company, and no waivers of statutes of limitation with respect to the returns or collection of taxes have been given by or requested from the Company. The term “taxes” mean all federal, state, local, foreign, and other net income, gross income, gross receipts, sales, use, ad valorem, transfer, franchise, profits, license, lease, service, service use, withholding, payroll, employment, excise, severance, stamp, occupation, premium, property, windfall profits, customs, duties or other taxes, fees, assessments, or charges of any kind whatever, together with any interest and any penalties, additions to tax, or additional amounts with respect thereto. The term “returns” means all returns, declarations, reports, statements, and other documents required to be filed in respect to taxes.</w:t>
        <w:br/>
        <w:t xml:space="preserve">  (viii)      Material Change. Since the respective dates as of which information is given (including information incorporated by reference) in the Registration Statement, the Time of Sale Disclosure Package and the Final Prospectus, except as otherwise disclosed in the Registration Statement, the Time of Sale Disclosure Package and the Final Prospectus, (a) the Company has not incurred any material liabilities or obligations, direct or contingent, or entered into any material transactions other than in the ordinary course of business, (b) the Company has not declared or paid any dividends or made any distribution of any kind with respect to its capital stock; (c) there has not been any change in the capital stock of the Company (other than a change in the number of outstanding shares of Common Stock due to the issuance of shares upon the exercise of outstanding options or warrants, upon the conversion of outstanding shares of preferred stock or other convertible securities or the issuance of restricted stock awards or restricted stock units under the Company’s existing stock awards plan, or any new grants thereof in the ordinary course of business), (d) there has not been any material change in the Company’s long-term or short-term debt, and (e) there has not been the occurrence of any Material Adverse Effect.</w:t>
        <w:br/>
        <w:t xml:space="preserve">    -9-  </w:t>
        <w:br/>
        <w:t xml:space="preserve">    (ix)         Absence of Proceedings. There is not pending or, to the knowledge of the Company, threatened, any action, suit or proceeding to which the Company is a party or of which any property or assets of the Company is the subject before or by any court or governmental agency, authority or body, or any arbitrator or mediator, which is reasonably likely to result in a Material Adverse Effect</w:t>
        <w:br/>
        <w:t xml:space="preserve">  (x)          Permits. Except as disclosed in the Registration Statement, the Time of Sale Disclosure Package and the Final Prospectus, the Company holds, and is in compliance with, all franchises, grants, authorizations, licenses, permits, easements, consents, certificates and orders (“Permits”) of any governmental or self-regulatory agency, authority or body (including, without limitation, those administered by the U.S. Environmental Protection Agency (the “EPA”) or any foreign, federal, state or local governmental or regulatory authority performing functions similar to those performed by the EPA) required for the conduct of its business, and all such Permits are in full force and effect, in each case except where the failure to hold, or comply with, any of them is not reasonably likely to result in a Material Adverse Effect or adversely affect the consummation of the transactions contemplated by this Agreement.</w:t>
        <w:br/>
        <w:t xml:space="preserve">  (xi)         Good Title. The Company has good and marketable title to all property (whether real or personal) described in the Registration Statement, the Time of Sale Disclosure Package and the Final Prospectus as being owned by them that are material to the business of the Company, in each case free and clear of all liens, claims, security interests, other encumbrances or defects, except those that are not reasonably likely to result in a Material Adverse Effect. The property held under lease by the Company is held by it under valid, subsisting and enforceable leases with only such exceptions with respect to any particular lease as do not interfere in any material respect with the conduct of the business of the Company.</w:t>
        <w:br/>
        <w:t xml:space="preserve">  (xii)        Intellectual Property. Except as disclosed in the Registration Statement, the Time of Sale Disclosure Package and the Final Prospectus, the Company owns or possesses or has valid right to use all patents, patent applications, trademarks, service marks, trade names, trademark registrations, service xxxx registrations, copyrights, licenses, inventions, trade secrets and similar rights (“Intellectual Property”) necessary for the conduct of the business of the Company in the manner as described in the Registration Statement, the Time of Sale Disclosure Package and the Final Prospectus, except where the lack thereof is not reasonably likely to result in a Material Adverse Effect. To the knowledge of the Company, no such action or use of the Intellectual Property by the Company referred to in the Registration Statement, the Time of Sale Disclosure Package and the Final Prospectus involves or gives rise to any infringement of, or license or similar fees for, any Intellectual Property of others, other than as disclosed in the Registration Statement, the Time of Sale Disclosure Package and the Final Prospectus. Other than as disclosed in the Registration Statement, the Time of Sale Disclosure Packages and the Final Prospectus, the Company has not received any notice alleging any such infringement or fee.</w:t>
        <w:br/>
        <w:t xml:space="preserve">    -10-  </w:t>
        <w:br/>
        <w:t xml:space="preserve">    (xiii)       Employment Matters. There is no unfair labor practice complaint pending against the Company nor, to the Company’s knowledge, threatened against it, before the National Labor Relations Board, any state or local labor relation board or any foreign labor relations board, and no grievance or arbitration proceeding arising out of or under any collective bargaining agreement is so pending against the Company, or, to the Company’s knowledge, threatened against it that could reasonably be expected, singularly or in the aggregate, to have a Material Adverse Effect. The Company is not aware that any Key Employee of the Company plans to terminate employment with the Company. For purposes of this Agreement, “Key Employee” means any one of the following: Xxxxxxx Xxxxx, Xxxxxx Xxxx, Xxx Xxxxxxxxxx, Xxxxxx Xxxxxx.</w:t>
        <w:br/>
        <w:t xml:space="preserve">  (xiv)      ERISA Compliance. No “prohibited transaction” (as defined in Section 406 of the Employee Retirement Income Security Act of 1974, as amended, including the regulations and published interpretations thereunder (“ERISA”), or Section 4975 of the Internal Revenue Code of 1986, as amended from time to time (the “Code”)) or “accumulated funding deficiency” (as defined in Section 302 of ERISA) or any of the events set forth in Section 4043(b) of ERISA (other than events with respect to which the thirty (30)-day notice requirement under Section 4043 of ERISA has been waived) has occurred or could reasonably be expected to occur with respect to any employee benefit plan of the Company which would reasonably be expected to, singularly or in the aggregate, have a Material Adverse Effect. Each employee benefit plan of the Company is in compliance in all material respects with applicable law, including ERISA and the Code. The Company has not incurred and could not reasonably be expected to incur liability under Title IV of ERISA with respect to the termination of, or withdrawal from, any pension plan (as defined in ERISA). Each pension plan for which the Company would have any liability that is intended to be qualified under Section 401(a) of the Code is so qualified, and, to the Company’s knowledge, nothing has occurred, whether by action or by failure to act, which could, singularly or in the aggregate, cause the loss of such qualification.</w:t>
        <w:br/>
        <w:t xml:space="preserve">  (xv)       Environmental Matters. Except as disclosed in the Registration Statement, the Time of Sale Disclosure Package and the Final Prospectus, the Company is in compliance with all foreign, federal, state and local rules, laws and regulations relating to the use, treatment, storage and disposal of hazardous or toxic substances or waste and protection of health and safety or the environment which are applicable to their businesses (“Environmental Laws”), except where the failure to comply has not had and would not reasonably be expected to have, singularly or in the aggregate, a Material Adverse Effect. There has been no storage, generation, transportation, handling, treatment, disposal, discharge, emission, or other release of any kind of toxic or other wastes or other hazardous substances by, due to, or caused by the Company (or, to the Company’s knowledge, any other entity for whose acts or omissions the Company is or may otherwise be liable) upon any of the property now or previously owned or leased by the Company, or upon any other property, in violation of any law, statute, ordinance, rule, regulation, order, judgment, decree or permit or which would, under any law, statute, ordinance, rule (including rule of common law), regulation, order, judgment, decree or permit, give rise to any liability, except for any violation or liability which has not had and would not reasonably be expected to have, singularly or in the aggregate, a Material Adverse Effect; and there has been no disposal, discharge, emission or other release of any kind onto such property or into the environment surrounding such property of any toxic or other wastes or other hazardous substances with respect to which the Company has knowledge.</w:t>
        <w:br/>
        <w:t xml:space="preserve">    -11-  </w:t>
        <w:br/>
        <w:t xml:space="preserve">    (xvi)      SOX Compliance. The Company is in compliance in all material respects with all applicable provisions of the Xxxxxxxx-Xxxxx Act of 2002 and all rules and regulations promulgated thereunder or implementing the provisions thereof.</w:t>
        <w:br/>
        <w:t xml:space="preserve">  (xvii)     Certain Regulatory Matters. The studies, tests and trials (collectively, “Studies”) that are described in the Registration Statement, the Time of Sale Disclosure Package and the Prospectus were and, if still pending, are being, conducted in all material respects in accordance with the protocols submitted to the EPA or any state, local or foreign governmental body exercising comparable authority, procedures and controls pursuant to, where applicable, accepted professional and scientific standards, and all applicable laws and regulations; the descriptions of the Studies conducted by or, to the Company’s knowledge, on behalf of the Company, and the results thereof, contained in the Registration Statement, the Time of Sale Disclosure Package and the Prospectus are accurate and complete in all material respects; the Company is not aware of any other Studies, the results of which call into question the results described in the Registration Statement, the Time of Sale Disclosure Package and the Prospectus; and the Company has not received any notices or correspondence from the EPA, any foreign, state or local governmental body exercising comparable authority or any institutional review board requiring the termination, suspension, material modification or hold of any Studies conducted by or on behalf of the Company, other than ordinary course communications with respect to modifications in connection with the design and implementation of such Studies.</w:t>
        <w:br/>
        <w:t xml:space="preserve">  (xviii)    Money Laundering Laws. The operations of the Company are and have been conducted at all times in compliance in all material respects with applicable financial recordkeeping and reporting requirements of the Currency and Foreign Transactions Reporting Act of 1970, as amended, the money laundering statutes of all jurisdictions, the rules and regulations thereunder and any related or similar rules, regulations or guidelines, issued, administered or enforced by any Governmental Entity (collectively, the “Money Laundering Laws”); and no action, suit or proceeding by or before any Governmental Entity involving the Company with respect to the Money Laundering Laws is pending or, to the knowledge of the Company, threatened. “Governmental Entity” shall be defined as any arbitrator, court, governmental body, regulatory body, administrative agency or other authority, body or agency (whether foreign or domestic) having jurisdiction over the Company or any of its properties, assets or operations.</w:t>
        <w:br/>
        <w:t xml:space="preserve">    -12-  </w:t>
        <w:br/>
        <w:t xml:space="preserve">    (xix)       Foreign Corrupt Practices Act. Neither the Company nor any director or officer of the Company, nor, to the knowledge of the Company, any employee, representative, agent, affiliate of the Company or any other person acting on behalf of the Company, is aware of or has taken any action, directly or indirectly, that would result in a violation by such persons of the Foreign Corrupt Practices Act of 1977, as amended, and the rules and regulations thereunder (the “FCPA”), including, without limitation, making use of the mails or any means or instrumentality of interstate commerce corruptly in furtherance of an offer, payment, promise to pay or authorization of the payment of any money, or other property, gift, promise to give, or authorization of the giving of anything of value to any “foreign official” (as such term is defined in the FCPA) or any foreign political party or official thereof or any candidate for foreign political office, in contravention of the FCPA and the Company and, to the knowledge of the Company, its affiliates have conducted their businesses in compliance with the FCPA and have instituted and maintain policies and procedures designed to ensure, and which are reasonably expected to continue to ensure, continued compliance therewith.</w:t>
        <w:br/>
        <w:t xml:space="preserve">  (xx)        OFAC. Neither the Company nor any director or officer of the Company, nor, to the knowledge of the Company, any employee, representative, agent or affiliate of the Company or any other person acting on behalf of the Company is currently subject to any U.S. sanctions administered by the Office of Foreign Assets Control of the U.S. Treasury Department (“OFAC”); and the Company will not directly or indirectly use the proceeds of the offering of the Securities contemplated hereby, or lend, contribute or otherwise make available such proceeds to any person or entity, for the purpose of financing the activities of any person currently subject to any U.S. sanctions administered by OFAC.</w:t>
        <w:br/>
        <w:t xml:space="preserve">  (xxi)       Insurance. The Company carries, or is covered by, insurance in such amounts and covering such risks as, in the Company’s reasonable judgment, is adequate for the conduct of its business and the value of its properties and as is customary for similarly sized companies engaged in similar businesses in similar industries.</w:t>
        <w:br/>
        <w:t xml:space="preserve">  (xxii)      Books and Records. The minute books of the Company have been made available to the Underwriters and counsel for the Underwriters, and such books (i) contain a complete summary of all meetings and actions of the board of directors (including each board committee) and stockholders of the Company (or analogous governing bodies and interest holders, as applicable), and each of its subsidiaries since the time of its respective incorporation or organization through the date of the latest meeting and action, and (ii) accurately in all material respects reflect all transactions referred to in such minutes.</w:t>
        <w:br/>
        <w:t xml:space="preserve">  (xxiii)     No Violation. Neither the Company nor, to its knowledge, any other party is in violation, breach or default of any Contract that has resulted in or could reasonably be expected to result in a Material Adverse Effect.</w:t>
        <w:br/>
        <w:t xml:space="preserve">  (xxiv)    No Finder’s Fee. There are no claims, payments, issuances, arrangements or understandings for services in the nature of a finder’s, consulting or origination fee with respect to the introduction of the Company to any Underwriter or the sale of the Securities hereunder or any other arrangements, agreements, understandings, payments or issuances with respect to the Company that may affect the Underwriters’ compensation, as determined by FINRA.</w:t>
        <w:br/>
        <w:t xml:space="preserve">    -13-  </w:t>
        <w:br/>
        <w:t xml:space="preserve">    (xxv)     No Fees. Except as disclosed to the Underwriters in writing or otherwise disclosed publicly in a document that is filed or furnished with the Commission, the Company has not made any direct or indirect payments (in cash, securities or otherwise) to (i) any person, as a finder’s fee, investing fee or otherwise, in consideration of such person raising capital for the Company or introducing to the Company persons who provided capital to the Company, (ii) any FINRA member, or (iii) any person or entity that has any direct or indirect affiliation or association with any FINRA member within the 12-month period prior to the date on which the Registration Statement was filed with the Commission (“Filing Date”) or thereafter.</w:t>
        <w:br/>
        <w:t xml:space="preserve">  (xxvi)     Proceeds. None of the net proceeds of the offering will be paid by the Company to any participating FINRA member or any affiliate or associate of any participating FINRA member, except as specifically authorized herein.</w:t>
        <w:br/>
        <w:t xml:space="preserve">  (xxvii)    No FINRA Affiliations. To the Company’s knowledge, no (i) officer or director of the Company, (ii) owner of 5% or more of any class of the Company’s securities or (iii) owner of any amount of the Company’s unregistered securities acquired within the 180-day period prior to the Filing Date, has any direct or indirect affiliation or association with any FINRA member. The Company will advise the Underwriters and counsel to the Underwriters if it becomes aware that any officer, director of the Company or any owner of 5% or more of any class of the Company’s securities is or becomes an affiliate or associated person of a FINRA member participating in the offering.</w:t>
        <w:br/>
        <w:t xml:space="preserve">  (xxviii)    No Financial Advisor. Except as disclosed to the Underwriters in writing, other than the Underwriters, no person has the right to act as an underwriter or as a financial advisor to the Company in connection with the transactions contemplated hereby.</w:t>
        <w:br/>
        <w:t xml:space="preserve">  (xxix)      Certain Statements. The statements set forth in our Annual Report on Form 10-K, filed with the Commission on March 31, 2017 and incorporated by reference in the Registration Statement, the Time of Sale Disclosure Package and the Final Prospectus, under the captions “Business – Government Regulations and Product Approval,” and “Prospectus Summary – Regulatory Strategy” insofar as they purport to describe the provisions of the laws and documents referred to therein, are accurate, complete and fair in all material respects, and under the caption “Description of the Securities To Be Registered” insofar as they purport to constitute a summary of (i) the terms of the Company’s outstanding securities, (ii) the terms of the Shares and the Warrants, and (iii) the terms of the documents referred to therein, are accurate, complete and fair in all material respects.</w:t>
        <w:br/>
        <w:t xml:space="preserve">    -14-  </w:t>
        <w:br/>
        <w:t xml:space="preserve">    (xxx)        No Registration Rights.         Except as disclosed in the Registration Statement, the Time of Sale Disclosure Package and the Final Prospectus, there are no contracts, agreements or understandings between the Company and any person granting such person the right to require the Company to file a registration statement under the Securities Act with respect to any securities of the Company owned or to be owned by such person or to require the Company to include such securities in the securities registered pursuant to the Registration Statement or in any securities being registered pursuant to any other registration statement filed by the Company under the Securities Act.</w:t>
        <w:br/>
        <w:t xml:space="preserve">  (xxxi)      Prior Sales of Securities. Except as disclosed in the Registration Statement, the Time of Sale Disclosure Package and the Final Prospectus, the Company has not sold or issued any shares of Common Stock during the six-month period preceding the date hereof, including any sales pursuant to Rule 144A under, or Regulations D or S of, the Securities Act, other than shares issued pursuant to employee benefit plans, stock option plans or other employee compensation plans or pursuant to outstanding preferred stock, options, rights or warrants or other outstanding convertible securities.</w:t>
        <w:br/>
        <w:t xml:space="preserve">  (b)          Any certificate signed by any officer of the Company and delivered to the Underwriters or to counsel for the Underwriters shall be deemed a representation and warranty by the Company to the Underwriters as to the matters covered thereby.</w:t>
        <w:br/>
        <w:t xml:space="preserve">  4.            Purchase, Sale and Delivery of Shares.</w:t>
        <w:br/>
        <w:t xml:space="preserve">  (a)          On the basis of the representations, warranties and agreements herein contained, but subject to the terms and conditions herein set forth, the Company agrees to issue and sell the Firm Shares and the Firm Warrants to the several Underwriters, and the several Underwriters agree, severally and not jointly, to purchase the Firm Shares and the Firm Warrants set forth opposite the names of the Underwriters in Schedule I hereto. The combined purchase price to be paid by the Underwriters to the Company for the Firm Shares and the Firm Warrants shall be shall be $[*] per share and related Warrant.</w:t>
        <w:br/>
        <w:t xml:space="preserve">  (b)          The Company hereby grants to the Underwriters the option to purchase some or all of the Option Shares and the Option Warrants and, upon the basis of the warranties and representations and subject to the terms and conditions herein set forth, the Underwriters shall have the right, severally and not jointly, to purchase all or any portion of the Option Shares and the Option Warrants as may be necessary to cover over-allotments made in connection with the transactions contemplated hereby. The purchase price to be paid by the Underwriters shall be $[*] per Option Share and related Option Warrant. This option may be exercised by the Underwriters at any time and from time to time on or before the thirtieth (30th) day following the date hereof, by written notice to the Company (the “Option Notice”). The Option Notice shall set forth the aggregate number of Option Shares and Option Warrants as to which the option is being exercised, and the date and time when the Option Shares and Option Warrants are to be delivered (such date and time being herein referred to as the “Option Closing Date”); provided, however, that the Option Closing Date shall not be earlier than the Closing Date (as defined below) nor earlier than the first business day after the date on which the option shall have been exercised nor later than the fifth business day after the date on which the option shall have been exercised unless the Company and the Underwriter otherwise agree. If the Underwriters elect to purchase less than all of the Option Shares and Option Warrants, the Company agrees to sell to the Underwriters the number of Option Shares and Option Warrants obtained by multiplying the number of Option Shares and Option Warrants, as applicable, specified in such notice by a fraction, the numerator of which is the number of Option Shares and Option Warrants, as applicable, set forth opposite the name of the Underwriter in Schedule I hereto under the caption “Number of Option Shares to be Sold” or “Number of Option Warrants to be Purchased”, as applicable and the denominator of which is the total number of Option Shares or Option Warrants, as applicable.</w:t>
        <w:br/>
        <w:t xml:space="preserve">    -15-  </w:t>
        <w:br/>
        <w:t xml:space="preserve">    (c)          Payment of the purchase price for and delivery of the Option Shares and the Option Warrants shall be made on an Option Closing Date in the same manner and at the same office as the payment for the Firm Shares and the Firm Warrants, as applicable, as set forth in subparagraph (d) below.</w:t>
        <w:br/>
        <w:t xml:space="preserve">  (d)          The Firm Shares and the Firm Warrants will be delivered by the Company to the Underwriters, against payment of the purchase price therefor by wire transfer of same day funds payable to the order of the Company at the offices of Xxxx Capital Partners, LLC, 000 Xxx Xxxxxxxx Xxxxx, Xxxxx 000, Xxxxxxx Xxxxx, XX 00000 and the offices of [______________________], as applicable, or such other location as may be mutually acceptable, at 6:00 a.m. Pacific Time, on the third (or if the Firm Shares and the Firm Warrants are priced, as contemplated by Rule 15c6-1(c) under the Exchange Act, after 4:30 p.m. Eastern time, the fourth) full business day following the date hereof, or at such other time and date as the Underwriters and the Company determine pursuant to Rule 15c6-1(a) under the Exchange Act, or, in the case of the Option Shares and Option Warrants, at such date and time set forth in the Option Notice. The time and date of delivery of the Firm Shares and the Firm Warrants is referred to herein as the “Closing Date.” On the Closing Date, the Company shall deliver the Firm Shares and the Firm Warrants which shall be registered in the name or names and shall be in such denominations as the Underwriters may request at least one (1) business day before the Closing Date, to the respective accounts of the several Underwriters, which delivery shall (a) with respect to the Firm Shares, be made through the facilities of the Depository Trust Company’s DWAC system and (b) with respect to the Firm Warrants, be made by physical delivery to be received or directed by the Underwriters no later than one (1) business day following the Closing Date.</w:t>
        <w:br/>
        <w:t xml:space="preserve">  (e)          Underwriters’ Warrants. On the Closing Date, the Company shall execute and deliver to the Underwriters warrants in the form attached hereto as Exhibit A evidencing the right to purchase an aggregate of [*] shares of Common Stock an amount equal to 10% of the Firm Shares issued in the offering (to be allocated amongst the underwriters as indicated in Schedule I). The Underwriters’ Warrants will have an exercise price equal to [*] per share, 150% of the offering price per share of the Initial Securities sold in the offering. The Underwriters’ Warrants and any shares of Common Stock acquired upon exercise of the Underwriters’ Warrants shall be subject to lock-up pursuant to FINRA Rule 5110(g) for a period of 180 days immediately following the date of this Agreement.</w:t>
        <w:br/>
        <w:t xml:space="preserve">    -16-  </w:t>
        <w:br/>
        <w:t xml:space="preserve">    5.            Covenants.</w:t>
        <w:br/>
        <w:t xml:space="preserve">  (a)          The Company covenants and agrees with the Underwriters as follows:</w:t>
        <w:br/>
        <w:t xml:space="preserve">  (i)          The Company shall prepare the Final Prospectus in a form approved by the Underwriters and file such Final Prospectus pursuant to Rule 424(b) under the Securities Act not later than the Commission’s close of business on the second business day following the execution and delivery of this Agreement, or, if applicable, such earlier time as may be required by the Rules and Regulations.</w:t>
        <w:br/>
        <w:t xml:space="preserve">  (ii)         During the period beginning on the date hereof and ending on the later of the Closing Date or such date as determined by the Underwriters the Final Prospectus is no longer required by law to be delivered in connection with sales by an underwriter or dealer (the “Prospectus Delivery Period”), prior to amending or supplementing the Registration Statement, including any Rule 462 Registration Statement, the Time of Sale Disclosure Package or the Final Prospectus, the Company shall furnish to the Underwriters for review and comment a copy of each such proposed amendment or supplement, and the Company shall not file any such proposed amendment or supplement to which the Underwriters reasonably object.</w:t>
        <w:br/>
        <w:t xml:space="preserve">  (iii)        From the date of this Agreement until the end of the Prospectus Delivery Period, the Company shall promptly advise the Underwriters in writing (A) of the receipt of any comments of, or requests for additional or supplemental information from, the Commission, (B) of the time and date of any filing of any post-effective amendment to the Registration Statement or any amendment or supplement to the Time of Sale Disclosure Package, the Final Prospectus or any Issuer Free Writing Prospectus, (C) of the time and date that any post-effective amendment to the Registration Statement becomes effective and (D) of the issuance by the Commission of any stop order suspending the effectiveness of the Registration Statement or of any order preventing or suspending its use or the use of the Time of Sale Disclosure Package, the Final Prospectus or any Issuer Free Writing Prospectus, or of any proceedings to remove, suspend or terminate from listing or quotation the Common Stock from any securities exchange upon which it is listed for trading or included or designated for quotation, or of the threatening or initiation of any proceedings for any of such purposes. If the Commission shall enter any such stop order at any time during the Prospectus Delivery Period, the Company will use its reasonable efforts to obtain the lifting of such order at the earliest possible moment. Additionally, the Company agrees that it shall comply with the provisions of Rules 424(b), 430A, 430B or 430C as applicable, under the Securities Act and will use its reasonable efforts to confirm that any filings made by the Company under Rule 424(b) or Rule 433 were received in a timely manner by the Commission (without reliance on Rule 424(b)(8) or 164(b) of the Securities Act).</w:t>
        <w:br/>
        <w:t xml:space="preserve">    -17-  </w:t>
        <w:br/>
        <w:t xml:space="preserve">    (iv)        (A) During the Prospectus Delivery Period, the Company will comply with all requirements imposed upon it by the Securities Act, as now and hereafter amended, and by the Rules and Regulations, as from time to time in force, and by the Exchange Act, as now and hereafter amended, so far as necessary to permit the continuance of sales of or dealings in the Securities as contemplated by the provisions hereof, the Registration Statement, the Time of Sale Disclosure Package and the Final Prospectus. If during the Prospectus Delivery Period any event occurs the result of which would cause the Final Prospectus (or if the Final Prospectus is not yet available to prospective purchasers, the Time of Sale Disclosure Package ) to include an untrue statement of a material fact or omit to state a material fact necessary to make the statements therein, in the light of the circumstances then existing, not misleading, or if during such period it is necessary or appropriate in the opinion of the Company or its counsel or the Underwriters or counsel to the Underwriters to amend the Registration Statement or supplement the Final Prospectus (or if the Final Prospectus is not yet available to prospective purchasers, the Time of Sale Disclosure Package) to comply with the Securities Act, or to file under the Exchange Act any document that would be deemed to be incorporated by reference in the Final Prospectus in order to comply with the Securities Act or the Exchange Act, the Company will promptly notify the Underwriters, allow the Underwriters the opportunity to provide reasonable comments on such amendment, prospectus supplement or document, and will amend the Registration Statement or supplement the Final Prospectus (or if the Final Prospectus is not yet available to prospective purchasers, the Time of Sale Disclosure Package) or file such document (at the expense of the Company) so as to correct such statement or omission or effect such compliance.</w:t>
        <w:br/>
        <w:t xml:space="preserve">  (B)         If at any time during the Prospectus Delivery Period there occurred or occurs an event or development the result of which such Issuer Free Writing Prospectus conflicted or would conflict with the information contained in the Registration Statement or any Prospectus or included or would include an untrue statement of a material fact or omitted or would omit to state a material fact necessary in order to make the statements therein, in the light of the circumstances prevailing at that subsequent time, not misleading, the Company will promptly notify the Underwriters and will promptly amended or will promptly amend or supplement, at its own expense, such Issuer Free Writing Prospectus to eliminate or correct such conflict, untrue statement or omission.</w:t>
        <w:br/>
        <w:t xml:space="preserve">  (v)         The Company shall take or cause to be taken all necessary action to qualify the Securities for sale under the securities laws of such jurisdictions as the Underwriters reasonably designate and to continue such qualifications in effect so long as required for the distribution of the Securities, except that the Company shall not be required in connection therewith to qualify as a foreign corporation or as a dealer in securities in any jurisdiction in which it is not so qualified, to execute a general consent to service of process in any state or to subject itself to taxation in respect of doing business in any jurisdiction in which it is not otherwise subject.</w:t>
        <w:br/>
        <w:t xml:space="preserve">  (vi)        The Company will furnish to the Underwriters and counsel to the Underwriters copies of the Registration Statement, each Prospectus, any Issuer Free Writing Prospectus, and all amendments and supplements to such documents, in each case as soon as available and in such quantities as the Underwriters may from time to time reasonably request.</w:t>
        <w:br/>
        <w:t xml:space="preserve">    -18-  </w:t>
        <w:br/>
        <w:t xml:space="preserve">    (vii)       The Company will make generally available to its security holders as soon as practicable, but in any event not later than 15 months after the end of the Company’s current fiscal quarter, an earnings statement (which need not be audited) covering a 12-month period that shall satisfy the provisions of Section 11(a) of the Securities Act and Rule 158 of the Rules and Regulations.</w:t>
        <w:br/>
        <w:t xml:space="preserve">  (viii)      The Company, whether or not the transactions contemplated hereunder are consummated or this Agreement is terminated, will pay or cause to be paid (A) all expenses (including transfer taxes allocated to the respective transferees) incurred in connection with the delivery to the Underwriters of the Securities (including all fees and expenses of the registrar and transfer agent of the Shares and the Warrant Shares and the registrar and transfer agent of the Warrants (if other than the Company), and the cost of preparing and printing stock certificates and warrant certificates), (B) all expenses and fees (including, without limitation, fees and expenses of the Company’s counsel) in connection with the preparation, printing, filing, delivery, and shipping of the Registration Statement (including the financial statements therein and all amendments, schedules, and exhibits thereto), the Securities, the Time of Sale Disclosure Package, any Prospectus, the Final Prospectus, any Issuer Free Writing Prospectus and any amendment thereof or supplement thereto, (C) all reasonable filing fees and reasonable fees and disbursements of the Underwriters’ counsel incurred in connection with the qualification of the Securities for offering and sale by the Underwriters or by dealers under the securities or blue sky laws of the states and other jurisdictions that the Underwriters shall designate, (D) the reasonable filing fees and reasonable fees and disbursements of counsel to the Underwriters incident to any required review and approval by FINRA, of the terms of the sale of the Securities, (F) listing fees, if any, and (G) all other costs and expenses of the Company incident to the performance of its obligations hereunder that are not otherwise specifically provided for herein. The Company will reimburse the Underwriters for the Underwriters’ reasonable out-of-pocket expenses up to $50,000, including legal fees and disbursements of Underwriter’s legal counsel, inclusive of fees and disbursements of counsel to the Underwriters incident to any required review and approval by FINRA, of the terms of the sale of the Securities. If this Agreement is terminated by the Underwriters in accordance with the provisions of Section 6 or Section 9(a)(ii), (vii) or (viii), the Company will reimburse the Underwriters for all out-of-pocket disbursements up to $50,000 (including, but not limited to, reasonable fees and disbursements of counsel, travel expenses, postage, facsimile and telephone charges) incurred by the Underwriters in connection with their investigation, preparing to market and marketing the Securities or in contemplation of performing their obligations hereunder.</w:t>
        <w:br/>
        <w:t xml:space="preserve">  (ix)         The Company intends to apply the net proceeds from the sale of the Securities to be sold by it hereunder for the purposes set forth in the Registration Statement, the Time of Sale Disclosure Package and the Final Prospectus under the heading “Use of Proceeds”.</w:t>
        <w:br/>
        <w:t xml:space="preserve">  (x)          The Company has not taken and will not take, directly or indirectly, during the Prospectus Delivery Period, any action designed to or which might reasonably be expected to cause or result in, or that has constituted, the stabilization or manipulation of the price of any security of the Company to facilitate the sale or resale of the Securities.</w:t>
        <w:br/>
        <w:t xml:space="preserve">    -19-  </w:t>
        <w:br/>
        <w:t xml:space="preserve">    (xi)         The Company represents and agrees that, unless it obtains the prior written consent of the Underwriters, and each Underwriter, severally, and not jointly, represents and agrees that, unless it obtains the prior written consent of the Company, it has not made and will not make any offer relating to the Securities that would constitute an Issuer Free Writing Prospectus; provided that the prior written consent of the parties hereto shall be deemed to have been given in respect of the free writing prospectuses included in Schedule III, if any. Any such free writing prospectus consented to by the Company and the Underwriters is hereinafter referred to as a “Permitted Free Writing Prospectus.” The Company represents that it has treated or agrees that it will treat each Permitted Free Writing Prospectus as an “issuer free writing prospectus,” as defined in Rule 433, and has complied or will comply with the requirements of Rule 433 applicable to any Permitted Free Writing Prospectus, including timely Commission filing where required, legending and record-keeping.</w:t>
        <w:br/>
        <w:t xml:space="preserve">  (xii)        The Company hereby agrees that, without the prior written consent of the Underwriters, it will not, during the period ending ninety (90) days after the date hereof (“Lock-Up Period”), (i) offer, pledge, issue, sell, contract to sell, purchase, contract to purchase, lend, or otherwise transfer or dispose of, directly or indirectly, any shares of Common Stock or any securities convertible into or exercisable or exchangeable for Common Stock; (ii) enter into any swap or other arrangement that transfers to another, in whole or in part, any of the economic consequences of ownership of the Common Stock, whether any such transaction described in clause (i) or (ii) above is to be settled by delivery of Common Stock or such other securities, in cash or otherwise; or (iii) file any registration statement with the Commission relating to the offering of any shares of Common Stock or any securities convertible into or exercisable or exchangeable for Common Stock (other than a registration statement on Form S-4 or Form S-8). The restrictions contained in the preceding sentence shall not apply to (1) the Securities to be sold hereunder, (2) the issuance of Common Stock upon the exercise of outstanding options or warrants and the vesting of restricted stock awards or units or the conversion of outstanding convertible securities disclosed as outstanding in the Registration Statement (excluding exhibits thereto), the Time of Sale Disclosure Package, and the Final Prospectus, or (3) the issuance of employee stock options not exercisable during the Lock-Up Period (provided such stock options may become exercisable during the Lock-Up Period upon the occurrence of a triggering event that accelerates the vesting of such stock options) and the grant, redemption or forfeiture of restricted stock awards or restricted stock units or shares of Common Stock pursuant to equity incentive plans or as new employee inducement grants described in the Registration Statement (excluding exhibits thereto), the Time of Sale Disclosure Package, and the Final Prospectus.</w:t>
        <w:br/>
        <w:t xml:space="preserve">  (xiii)       To engage and maintain, at its expense, a registrar and transfer agent for the Common Stock and a registrar and transfer agent for the Warrants (if other than the Company).</w:t>
        <w:br/>
        <w:t xml:space="preserve">    -20-  </w:t>
        <w:br/>
        <w:t xml:space="preserve">    (xiv)      To use its reasonable best efforts to obtain approval to list the Shares and the Warrant Shares on Nasdaq.</w:t>
        <w:br/>
        <w:t xml:space="preserve">  (xv)       The Company will promptly notify the Underwriters if the Company ceases to be an Emerging Growth Company at any time prior to the later of (a) the end of the Prospectus Delivery Period and (b) the expiration of the lock-up period described in Section 5(a)(xii) above.</w:t>
        <w:br/>
        <w:t xml:space="preserve">  6.           Conditions of the Underwriters’ Obligations. The respective obligations of the several Underwriters hereunder to purchase the Shares and the Warrants are subject to the accuracy, as of the date hereof and at all times through the Closing Date, and on each Option Closing Date (as if made on the Closing Date or such Option Closing Date, as applicable), of and compliance with all representations, warranties and agreements of the Company contained herein, the performance by the Company of its obligations hereunder and the following additional conditions:</w:t>
        <w:br/>
        <w:t xml:space="preserve">  (a)          If filing of the Final Prospectus, or any amendment or supplement thereto, or any Issuer Free Writing Prospectus, is required under the Securities Act or the Rules and Regulations, the Company shall have filed the Final Prospectus (or such amendment or supplement) or such Issuer Free Writing Prospectus with the Commission in the manner and within the time period so required (without reliance on Rule 424(b)(8) or 164(b) under the Securities Act); the Registration Statement shall remain effective; no stop order suspending the effectiveness of the Registration Statement or any part thereof, any Rule 462 Registration Statement, or any amendment thereof, nor suspending or preventing the use of the Time of Sale Disclosure Package, any Prospectus, the Final Prospectus or any Issuer Free Writing Prospectus shall have been issued; no proceedings for the issuance of such an order shall have been initiated or threatened by the Commission; any request of the Commission or the Underwriters for additional information (to be included in the Registration Statement, the Time of Sale Disclosure Package, any Prospectus, the Final Prospectus, any Issuer Free Writing Prospectus or otherwise) shall have been complied with to the satisfaction of the Underwriters.</w:t>
        <w:br/>
        <w:t xml:space="preserve">  (b)          The Shares and the Warrant Shares shall be approved for listing on the Nasdaq, subject to official notice of issuance.</w:t>
        <w:br/>
        <w:t xml:space="preserve">  (c)          FINRA shall have raised no objection to the fairness and reasonableness of the underwriting terms and arrangements.</w:t>
        <w:br/>
        <w:t xml:space="preserve">  (d)          The Underwriters shall not have reasonably determined, and advised the Company, that the Registration Statement, the Time of Sale Disclosure Package, any Prospectus, the Final Prospectus, or any amendment thereof or supplement thereto, or any Issuer Free Writing Prospectus, contains an untrue statement of fact which, in the reasonable opinion of the Underwriters, is material, or omits to state a fact which, in the reasonable opinion of the Underwriters, is material and is required to be stated therein or necessary to make the statements therein not misleading.</w:t>
        <w:br/>
        <w:t xml:space="preserve">    -21-  </w:t>
        <w:br/>
        <w:t xml:space="preserve">    (e)          On the Closing Date and on each Option Closing Date, there shall have been furnished to the Underwriters the opinion and negative assurance letters of Xxxxxxx Coie LLP, counsel to the Company, dated the Closing Date or the Option Closing Date, as applicable, and addressed to the Underwriters, in form and substance reasonably satisfactory to the Underwriters.</w:t>
        <w:br/>
        <w:t xml:space="preserve">  (f)          On the Closing Date and on each Option Closing Date, there shall have been furnished to the Underwriters the negative assurance letter of Xxxxxxxxx Xxxxxx PLLC, counsel to the Underwriters, dated the Closing Date or the Option Closing Date, as applicable, and addressed to the Underwriters, in form and substance reasonably satisfactory to Underwriters.</w:t>
        <w:br/>
        <w:t xml:space="preserve">  (g)          The Underwriters shall have received a letter of M&amp;K CPAs, PLLC, on the date hereof and on the Closing Date and on each Option Closing Date, addressed to the Underwriters, confirming that they are independent registered public accountants within the meaning of the Securities Act and are in compliance with the applicable requirements relating to the qualifications of accountants under Rule 2-01 of Regulation S-X of the Commission, and confirming, as of the date of each such letter (or, with respect to matters involving changes or developments since the respective dates as of which specified financial information is given in the Registration Statement, the Time of Sale Disclosure Package and the Final Prospectus, as of a date not prior to the date hereof or more than five days prior to the date of such letter), the conclusions and findings of said firm with respect to the financial information and other matters required by the Underwriters.</w:t>
        <w:br/>
        <w:t xml:space="preserve">  (h)          On the Closing Date and on each Option Closing Date, there shall have been furnished to the Underwriters a certificate, dated the Closing Date and on each Option Closing Date and addressed to the Underwriters, signed by the chief executive officer and the chief financial officer of the Company, in their capacity as officers of the Company, to the effect that:</w:t>
        <w:br/>
        <w:t xml:space="preserve">  (i)          The representations and warranties of the Company in this Agreement that are qualified by materiality or by reference to any Material Adverse Effect are true and correct in all respects, and all other representations and warranties of the Company in this Agreement are true and correct, in all material respects, as if made at and as of the Closing Date and on the Option Closing Date, and the Company has complied in all material respects with all the agreements and satisfied all the conditions on its part required to be performed or satisfied at or prior to the Closing Date or on the Option Closing Date, as applicable;</w:t>
        <w:br/>
        <w:t xml:space="preserve">  (ii)         No stop order or other order (A) suspending the effectiveness of the Registration Statement or any part thereof or any amendment thereof, (B) suspending the qualification of the Securities for offering or sale, or (C) suspending or preventing the use of the Time of Sale Disclosure Package, any Prospectus, the Final Prospectus or any Issuer Free Writing Prospectus, has been issued, and no proceeding for that purpose has been instituted or, to their knowledge, is contemplated by the Commission or any state or regulatory body; and</w:t>
        <w:br/>
        <w:t xml:space="preserve">  (iii)        There has been no occurrence of any event resulting or reasonably likely to result in a Material Adverse Effect during the period from and after the date of this Agreement and prior to the Closing Date or on the Option Closing Date, as applicable.</w:t>
        <w:br/>
        <w:t xml:space="preserve">    -22-  </w:t>
        <w:br/>
        <w:t xml:space="preserve">    (i)          On or before the date hereof, the Underwriters shall have received duly executed lock-up agreement, substantially in the form of Exhibit B hereto (each a “Lock-Up Agreement”), from each of the parties specified in Schedule V.</w:t>
        <w:br/>
        <w:t xml:space="preserve">  (j)          On the Closing Date of the sale of the Firm Shares, the Underwriters’ Warrants shall have been issued to the Underwriters.</w:t>
        <w:br/>
        <w:t xml:space="preserve">  (k)          The Company shall have furnished to the Underwriters and their counsel such additional documents, certificates and evidence as the Underwriters or their counsel may have reasonably and customarily requested.</w:t>
        <w:br/>
        <w:t xml:space="preserve">  If any condition specified in this Section 6 shall not have been fulfilled when and as required to be fulfilled, this Agreement may be terminated by the Underwriters by notice to the Company at any time at or prior to the Closing Date or on the Option Closing Date, as applicable, and such termination shall be without liability of any party to any other party, except that Section 5(a)(viii), Section 7 and Section 9 shall survive any such termination and remain in full force and effect.</w:t>
        <w:br/>
        <w:t xml:space="preserve">  7.            Indemnification and Contribution.</w:t>
        <w:br/>
        <w:t xml:space="preserve">  (a)          The Company agrees to indemnify, defend and hold harmless each Underwriter, its affiliates, directors and officers and employees, and each person, if any, who controls such Underwriter within the meaning of Section 15 of the Securities Act or Section 20 of the Exchange Act, from and against any losses, claims, damages or liabilities to which such Underwriter or such person may become subject, under the Securities Act or otherwise (including in settlement of any litigation if such settlement is effected with the written consent of the Company), insofar as such losses, claims, damages or liabilities (or actions in respect thereof) arise out of or are based upon (i) an untrue statement or alleged untrue statement of a material fact contained in the Registration Statement, including the information deemed to be a part of the Registration Statement at the time of effectiveness and at any subsequent time pursuant to Rules 430A and 430B of the Rules and Regulations, or arise out of or are based upon the omission from the Registration Statement, or alleged omission to state therein, a material fact required to be stated therein or necessary to make the statements therein not misleading (ii) an untrue statement or alleged untrue statement of a material fact contained in the Time of Sale Disclosure Package, any Written Testing-the-Waters Communications, any Prospectus, the Final Prospectus, or any amendment or supplement thereto, any Issuer Free Writing Prospectus, or the Marketing Materials or in any other materials used in connection with the offering of the Securities, or arise out of or are based upon the omission or alleged omission to state therein a material fact required to be stated therein or necessary to make the statements therein, in light of the circumstances under which they were made, not misleading, (iii) in whole or in part, any inaccuracy in the representations and warranties of the Company contained herein, or (iv) in whole or in part, any failure of the Company to perform its obligations hereunder or under law, and will reimburse each Underwriter for any legal or other expenses reasonably incurred by it in connection with evaluating, investigating or defending against such loss, claim, damage, liability or action; provided, however, that the Company shall not be liable in any such case to the extent that any such loss, claim, damage, liability or action arises out of or is based upon an untrue statement or alleged untrue statement or omission or alleged omission made in the Registration Statement, the Time of Sale Disclosure Package, any Written Testing-the-Waters Communications, any Prospectus, the Final Prospectus, or any amendment or supplement thereto or any Issuer Free Writing Prospectus, in reliance upon and in conformity with written information furnished to the Company by such Underwriter specifically for use in the preparation thereof, which written information is described in Section 7(f).</w:t>
        <w:br/>
        <w:t xml:space="preserve">    -23-  </w:t>
        <w:br/>
        <w:t xml:space="preserve">    (b)          Each Underwriter, severally and not jointly, will indemnify, defend and hold harmless the Company, its affiliates, directors, officers and employees, and each person, if any, who controls the Company within the meaning of Section 15 of the Securities Act or Section 20 of the Exchange Act, from and against any losses, claims, damages or liabilities to which the Company may become subject, under the Securities Act or otherwise (including in settlement of any litigation, if such settlement is effected with the written consent of such Underwriter), insofar as such losses, claims, damages or liabilities (or actions in respect thereof) arise out of or are based upon an untrue statement or alleged untrue statement of a material fact contained in the Registration Statement, the Time of Sale Disclosure Package, any Prospectus, the Final Prospectus, or any amendment or supplement thereto or any Issuer Free Writing Prospectus, or arise out of or are based upon the omission or alleged omission to state therein a material fact required to be stated therein or necessary to make the statements therein not misleading, in each case to the extent, but only to the extent, that such untrue statement or alleged untrue statement or omission or alleged omission was made in the Registration Statement, the Time of Sale Disclosure Package, any Prospectus, the Final Prospectus, or any amendment or supplement thereto or any Issuer Free Writing Prospectus in reliance upon and in conformity with written information furnished to the Company by such Underwriter specifically for use in the preparation thereof, which written information is described in Section 7(f), and will reimburse the Company for any legal or other expenses reasonably incurred by the Company in connection with evaluating, investigating, and defending against any such loss, claim, damage, liability or action. The obligation of each Underwriter to indemnify the Company (including any controlling person, director or officer thereof) shall be limited to the amount of the underwriting discount applicable to the Shares and Warrants to be purchased by such Underwriter hereunder actually received by such Underwriter.</w:t>
        <w:br/>
        <w:t xml:space="preserve">  (c)          Promptly after receipt by an indemnified party under subsection (a) or (b) above of notice of the commencement of any action, such indemnified party shall, if a claim in respect thereof is to be made against the indemnifying party under such subsection, notify the indemnifying party in writing of the commencement thereof; but the failure to notify the indemnifying party shall not relieve the indemnifying party from any liability that it may have to any indemnified party except to the extent such indemnifying party has been materially prejudiced by such failure. In case any such action shall be brought against any indemnified party, and it shall notify the indemnifying party of the commencement thereof, the indemnifying party shall be entitled to participate in, and, to the extent that it shall wish, jointly with any other indemnifying party similarly notified, to assume the defense thereof, with counsel satisfactory to such indemnified party, and after notice from the indemnifying party to such indemnified party of the indemnifying party’s election so to assume the defense thereof, the indemnifying party shall not be liable to such indemnified party under such subsection for any legal or other expenses subsequently incurred by such indemnified party in connection with the defense thereof; provided, however, that if (i) the indemnified party has reasonably concluded (based on advice of counsel) that there may be legal defenses available to it or other indemnified parties that are different from or in addition to those available to the indemnifying party, (ii) a conflict or potential conflict exists (based on advice of counsel to the indemnified party) between the indemnified party and the indemnifying party (in which case the indemnifying party will not have the right to direct the defense of such action on behalf of the indemnified party), or (iii) the indemnifying party has not in fact employed counsel reasonably satisfactory to the indemnified party to assume the defense of such action within a reasonable time after receiving notice of the commencement of the action, the indemnified party shall have the right to employ a single counsel to represent it in any claim in respect of which indemnity may be sought under subsection (a) or (b) of this Section 7, in which event the reasonable fees and expenses of such separate counsel shall be borne by the indemnifying party or parties and reimbursed to the indemnified party as incurred.</w:t>
        <w:br/>
        <w:t xml:space="preserve">    -24-  </w:t>
        <w:br/>
        <w:t xml:space="preserve">    The indemnifying party under this Section 7 shall not be liable for any settlement of any proceeding effected without its written consent, but if settled with such consent or if there be a final judgment for the plaintiff, the indemnifying party agrees to indemnify the indemnified party against any loss, claim, damage, liability or expense by reason of such settlement or judgment. No indemnifying party shall, without the prior written consent of the indemnified party, effect any settlement, compromise or consent to the entry of judgment in any pending or threatened action, suit or proceeding in respect of which any indemnified party is a party or could be named and indemnity was or would be sought hereunder by such indemnified party, unless such settlement, compromise or consent (a) includes an unconditional release of such indemnified party from all liability for claims that are the subject matter of such action, suit or proceeding and (b) does not include a statement as to or an admission of fault, culpability or a failure to act by or on behalf of any indemnified party.</w:t>
        <w:br/>
        <w:t xml:space="preserve">  (d)          If the indemnification provided for in this Section 7 is unavailable or insufficient to hold harmless an indemnified party under subsection (a) or (b) above, then each indemnifying party shall contribute to the amount paid or payable by such indemnified party as a result of the losses, claims, damages or liabilities referred to in subsection (a) or (b) above, (i) in such proportion as is appropriate to reflect the relative benefits received by the Company on the one hand and the Underwriters on the other from the offering and sale of the Shares and the Warrants or (ii) if the allocation provided by clause (i) above is not permitted by applicable law, in such proportion as is appropriate to reflect not only the relative benefits referred to in clause (i) above but also the relative fault of the Company on the one hand and the Underwriters on the other in connection with the statements or omissions that resulted in such losses, claims, damages or liabilities, as well as any other relevant equitable considerations. The relative benefits received by the Company on the one hand and the Underwriters on the other shall be deemed to be in the same proportion as the total net proceeds from the offering (before deducting expenses) received by the Company bear to the total underwriting discount received by the Underwriters, in each case as set forth in the table on the cover page of the Final Prospectus. The relative fault shall be determined by reference to, among other things, whether the untrue or alleged untrue statement of a material fact or the omission or alleged omission to state a material fact relates to information supplied by the Company or the Underwriters and the parties’ relevant intent, knowledge, access to information and opportunity to correct or prevent such untrue statement or omission. The Company and the Underwriters agree that it would not be just and equitable if contributions pursuant to this subsection (d) were to be determined by pro rata allocation or by any other method of allocation that does not take account of the equitable considerations referred to in the first sentence of this subsection (d). The amount paid by an indemnified party as a result of the losses, claims, damages or liabilities referred to in the first sentence of this subsection (d) shall be deemed to include any legal or other expenses reasonably incurred by such indemnified party in connection with investigating or defending against any action or claim that is the subject of this subsection (d). Notwithstanding the provisions of this subsection (d), no Underwriter shall be required to contribute any amount in excess of the amount of the of the underwriting discount applicable to the Shares and the Warrants to be purchased by such Underwriter hereunder actually received by such Underwriter. No person guilty of fraudulent misrepresentation (within the meaning of Section 11(f) of the Securities Act) shall be entitled to contribution from any person who was not guilty of such fraudulent misrepresentation. The Underwriters’ respective obligations to contribute as provided in this Section 7 are several in proportion to their respective underwriting commitments and not joint.</w:t>
        <w:br/>
        <w:t xml:space="preserve">    -25-  </w:t>
        <w:br/>
        <w:t xml:space="preserve">    (e)          The obligations of the Company under this Section 7 shall be in addition to any liability that the Company may otherwise have and the benefits of such obligations shall extend, upon the same terms and conditions, to each person, if any, who controls any Underwriter within the meaning of Section 15 of the Securities Act or Section 20 of the Exchange Act; and the obligations of each Underwriter under this Section 7 shall be in addition to any liability that each Underwriter may otherwise have and the benefits of such obligations shall extend, upon the same terms and conditions, to the Company, and its officers, directors and each person who controls the Company within the meaning of Section 15 of the Securities Act or Section 20 of the Exchange Act.</w:t>
        <w:br/>
        <w:t xml:space="preserve">  (f)          For purposes of this Agreement, each Underwriter severally confirms, and the Company acknowledges, that there is no information concerning such Underwriter furnished in writing to the Company by such Underwriter specifically for preparation of or inclusion in the Registration Statement, the Time of Sale Disclosure Package, any Prospectus, the Final Prospectus or any Issuer Free Writing Prospectus, other than the marketing and legal names of each Underwriter, and the statements set forth in the “Underwriting” section of the Registration Statement, the Time of Sale Disclosure Package, and the Final Prospectus only insofar as such statements relate to the amount of selling concession and re-allowance, if any, or to over-allotment, stabilization and related activities that may be undertaken by such Underwriter.</w:t>
        <w:br/>
        <w:t xml:space="preserve">  8.            Representations and Agreements to Survive Delivery. All representations, warranties, and agreements of the Company contained herein or in certificates delivered pursuant hereto, including, but not limited to, the agreements of the several Underwriters and the Company contained in Section 5(a)(viii) and Section 7 hereof, shall remain operative and in full force and effect regardless of any investigation made by or on behalf of the several Underwriters or any controlling person thereof, or the Company or any of its officers, directors, or controlling persons, and shall survive delivery of, and payment for, the Shares and the Warrants to and by the Underwriters hereunder.</w:t>
        <w:br/>
        <w:t xml:space="preserve">    -26-  </w:t>
        <w:br/>
        <w:t xml:space="preserve">    9.            Termination of this Agreement.</w:t>
        <w:br/>
        <w:t xml:space="preserve">  (a)          The Underwriters shall have the right to terminate this Agreement by giving notice to the Company as hereinafter specified at any time at or prior to the Closing Date or any Option Closing Date (as to the Option Shares and the Option Warrants to be purchased on such Option Closing Date only), if in the discretion of the Underwriters, (i) there has occurred any material adverse change in the securities markets or any event, act or occurrence that has materially disrupted, or in the opinion of the Underwriters, will in the future materially disrupt, the securities markets or there shall be such a material adverse change in general financial, political or economic conditions or the effect of international conditions on the financial markets in the United States is such as to make it, in the judgment of the Underwriters, inadvisable or impracticable to market the Shares and the Warrants or enforce contracts for the sale of the Shares and the Warrants, (ii) trading in the Company’s Common Stock shall have been suspended by the Commission or Nasdaq, (iii) trading in securities generally on the Nasdaq Stock Market, the NYSE or the NYSE MKT shall have been suspended, (iv) minimum or maximum prices for trading shall have been fixed, or maximum ranges for prices for securities shall have been required, on the Nasdaq Stock Market, the NYSE or NYSE MKT, by such exchange or by order of the Commission or any other governmental authority having jurisdiction, (v) a banking moratorium shall have been declared by federal or state authorities, (vi) there shall have occurred any attack on, outbreak or escalation of hostilities or act of terrorism involving the United States, any declaration by the United States of a national emergency or war, any substantial change or development involving a prospective substantial change in United States or international political, financial or economic conditions or any other calamity or crisis, (vii) the Company suffers any loss by strike, fire, flood, earthquake, accident or other calamity, whether or not covered by insurance, or (viii) in the judgment of the Underwriters, there has been, since the time of execution of this Agreement or since the respective dates as of which information is given in the Registration Statement, the Time of Sale Disclosure Package and the Final Prospectus, any material adverse change in the assets, properties, condition, financial or otherwise, or in the results of operations, business affairs or business prospects of the Company, whether or not arising in the ordinary course of business. Any such termination shall be without liability of any party to any other party except that the provisions of Section 5(a)(viii) and Section 7 hereof shall at all times be effective and shall survive such termination.</w:t>
        <w:br/>
        <w:t xml:space="preserve">  (b)          If the Underwriters elect to terminate this Agreement as provided in this Section, the Company shall be notified promptly by the Underwriters by telephone, confirmed by letter.</w:t>
        <w:br/>
        <w:t xml:space="preserve">  10.          Substitution of Underwriters. If any Underwriter or Underwriters shall default in its or their obligations to purchase Shares and Warrants hereunder on the Closing Date or any Option Closing Date and the aggregate number of Shares and Warrants which such defaulting Underwriter or Underwriters agreed but failed to purchase does not exceed ten percent (10%) of the total number of Shares and Warrants to be purchased by all Underwriters on such Closing Date or Option Closing Date, the other Underwriters shall be obligated severally, in proportion to their respective commitments hereunder, to purchase the Shares and Warrants which such defaulting Underwriter or Underwriters agreed but failed to purchase on such Closing Date or Option Closing Date. If any Underwriter or Underwriters shall so default and the aggregate number of Shares and Warrants with respect to which such default or defaults occur is more than ten percent (10%) of the total number of Shares and Warrants to be purchased by all Underwriters on such Closing Date or Option Closing Date and arrangements satisfactory to the remaining Underwriters and the Company for the purchase of such Shares and Warrants by other persons are not made within forty-eight (48) hours after such default, this Agreement shall terminate.</w:t>
        <w:br/>
        <w:t xml:space="preserve">    -27-  </w:t>
        <w:br/>
        <w:t xml:space="preserve">    If the remaining Underwriters or substituted Underwriters are required hereby or agree to take up all or part of the Shares and Warrants of a defaulting Underwriter or Underwriters on such Closing Date or Option Closing Date as provided in this Section 10, (i) the Company shall have the right to postpone such Closing Date or Option Closing Date for a period of not more than five (5) full business days in order to permit the Company to effect whatever changes in the Registration Statement, the Final Prospectus, or in any other documents or arrangements, which may thereby be made necessary, and the Company agrees to promptly file any amendments to the Registration Statement or the Final Prospectus which may thereby be made necessary, and (ii) the respective numbers of Shares and Warrants to be purchased by the remaining Underwriters or substituted Underwriters shall be taken as the basis of their underwriting obligation for all purposes of this Agreement. Nothing herein contained shall relieve any defaulting Underwriter of its liability to the Company or any other Underwriter for damages occasioned by its default hereunder. Any termination of this Agreement pursuant to this Section 10 shall be without liability on the part of any non-defaulting Underwriters or the Company, except that the representations, warranties, covenants, indemnities, agreements and other statements set forth in Section 2 and 3, the obligations with respect to expenses to be paid or reimbursed pursuant to Section 5(a)(viii) and Section 7 and Sections 11 through 18, inclusive, shall not terminate and shall remain in full force and effect.</w:t>
        <w:br/>
        <w:t xml:space="preserve">  11.         Notices. All notices and other communications hereunder shall be in writing and shall be deemed to have been duly given if mailed or transmitted by any standard form of telecommunication. Notices to the Underwriters shall be directed to Xxxx at 000 Xxx Xxxxxxxx, Xxxxxxx Xxxxx, XX 00000, attention of Xxxx Xxxxxxxx (email:XXxxxxxxx@xxxx.xxx), with a copy to Xxxxxxxxx Xxxxxx PLLC at 0000 X. Xxx Xxxxxx Xxxx, Xxxxx 000, Xxxx, XX 00000 attention of Xxxxxxx X. Xxxxxxx (email: xxxxxxxx@xxxxxxxxxxxxxxxx.xxx) 433-7274); notices to the Company shall be directed to it at 0000 X. Xxxxx Xx., Xxxxx 0, Xxxxxxxxx, XX 00000, attention of Xxxxxx X. Xxxxxxxxxx (email: xxx.xxxxxxxxxx@xxxxxxxxx.xxx), with a copy to Xxxxxxx Coie LLP, 0000 X.X. Xxxxx Xxxxxx Xxxxx Xxxxx, Xxxxxxxx, XX 00000-0000 attention of Xxxxx Xxxx (email: Xxxxx@xxxxxxxxxxx.xxx). Any party to this Agreement may change such address for notices by sending to the parties to this Agreement written notice of a new address for such purpose.</w:t>
        <w:br/>
        <w:t xml:space="preserve">  12.         Persons Entitled to Benefit of Agreement. This Agreement shall inure to the benefit of and be binding upon the parties hereto and their respective successors and assigns and the controlling persons, officers and directors referred to in Section 7. Nothing in this Agreement is intended or shall be construed to give to any other person, firm or corporation any legal or equitable remedy or claim under or in respect of this Agreement or any provision herein contained. The term “successors and assigns” as herein used shall not include any purchaser, as such purchaser, of any of the Shares and Warrants from any Underwriter.</w:t>
        <w:br/>
        <w:t xml:space="preserve">    -28-  </w:t>
        <w:br/>
        <w:t xml:space="preserve">    13.         Absence of Fiduciary Relationship. The Company acknowledges and agrees that: (a) each Underwriter has been retained solely to act as underwriter in connection with the sale of the Shares and Warrants and that no fiduciary, advisory or agency relationship between the Company and any Underwriter has been created in respect of any of the transactions contemplated by this Agreement, irrespective of whether the Underwriter has advised or is advising the Company on other matters; (b) the price and other terms of the Shares and the Warrants set forth in this Agreement were established by the Company following discussions and arms-length negotiations with the Underwriters and the Company is capable of evaluating and understanding and understands and accepts the terms, risks and conditions of the transactions contemplated by this Agreement; (c) it has been advised that the Underwriters and their affiliates are engaged in a broad range of transactions that may involve interests that differ from those of the Company and that no Underwriter has any obligation to disclose such interest and transactions to the Company by virtue of any fiduciary, advisory or agency relationship; and (d) it has been advised that each Underwriter is acting, in respect of the transactions contemplated by this Agreement, solely for the benefit of such Underwriter, and not on behalf of the Company.</w:t>
        <w:br/>
        <w:t xml:space="preserve">  14.         Amendments and Waivers. No supplement, modification or waiver of this Agreement shall be binding unless executed in writing by the party to be bound thereby. The failure of a party to exercise any right or remedy shall not be deemed or constitute a waiver of such right or remedy in the future. No waiver of any of the provisions of this Agreement shall be deemed or shall constitute a waiver of any other provision hereof (regardless of whether similar), nor shall any such waiver be deemed or constitute a continuing waiver unless otherwise expressly provided.</w:t>
        <w:br/>
        <w:t xml:space="preserve">  15.         Partial Unenforceability. The invalidity or unenforceability of any section, paragraph, clause or provision of this Agreement shall not affect the validity or enforceability of any other section, paragraph, clause or provision.</w:t>
        <w:br/>
        <w:t xml:space="preserve">  16.         Governing Law. This Agreement shall be governed by and construed in accordance with the laws of the State of Delaware.</w:t>
        <w:br/>
        <w:t xml:space="preserve">  17.         Submission to Jurisdiction. Any legal suit, action or proceeding arising out of or based upon this Agreement or the transactions contemplated hereby shall be instituted in any court of the State of Delaware (collectively, the “Specified Courts”), and each party irrevocably submits to the exclusive jurisdiction (except for proceedings instituted in regard to the enforcement of a judgment of any such court, as to which such jurisdiction is non-exclusive) of such courts in any such suit, action or proceeding. Service of any process, summons, notice or document by mail to such party’s address set forth above shall be effective service of process for any suit, action or other proceeding brought in any such court. The parties irrevocably and unconditionally waive any objection to the laying of venue of any suit, action or other proceeding in the Specified Courts and irrevocably and unconditionally waive and agree not to plead or claim in any such court that any such suit, action or other proceeding brought in any such court has been brought in an inconvenient forum. THE COMPANY (ON BEHALF OF ITSELF AND, TO THE FULLEST EXTENT PERMITTED BY LAW, ON BEHALF OF ITS RESPECTIVE EQUITY HOLDERS AND CREDITORS) HEREBY WAIVES ANY RIGHT IT MAY HAVE TO A TRIAL BY JURY IN RESPECT OF ANY CLAIM BASED UPON, ARISING OUT OF OR IN CONNECTION WITH THIS AGREEMENT AND THE TRANSACTIONS CONTEMPLATED BY THIS AGREEMENT, THE REGISTRATION STATEMENT, THE TIME OF SALE DISCLOSURE PACKAGE, ANY PROSPECTUS AND THE FINAL PROSPECTUS.</w:t>
        <w:br/>
        <w:t xml:space="preserve">    -29-  </w:t>
        <w:br/>
        <w:t xml:space="preserve">    18.         Counterparts. This Agreement may be executed and delivered (including by facsimile transmission or electronic mail) in one or more counterparts and, if executed in more than one counterpart, the executed counterparts shall each be deemed to be an original and all such counterparts shall together constitute one and the same instrument.</w:t>
        <w:br/>
        <w:t xml:space="preserve">  [Signature Page Follows]</w:t>
        <w:br/>
        <w:t xml:space="preserve">    -30-  </w:t>
        <w:br/>
        <w:t xml:space="preserve">    Please sign and return to the Company the enclosed duplicates of this letter whereupon this letter will become a binding agreement between the Company and the several Underwriters in accordance with its terms.</w:t>
        <w:br/>
        <w:t xml:space="preserve">      Very truly yours,</w:t>
        <w:br/>
        <w:t xml:space="preserve">          SENESTECH, INC.</w:t>
        <w:br/>
        <w:t xml:space="preserve">            By:  </w:t>
        <w:br/>
        <w:t xml:space="preserve">    Name:    </w:t>
        <w:br/>
        <w:t xml:space="preserve">    Title:  </w:t>
        <w:br/>
        <w:t xml:space="preserve">  Confirmed as of the date first above-mentioned</w:t>
        <w:br/>
        <w:t>by the Underwriters.</w:t>
        <w:br/>
        <w:t xml:space="preserve">  XXXX CAPITAL PARTNERS, LLC  </w:t>
        <w:br/>
        <w:t xml:space="preserve">      By:    </w:t>
        <w:br/>
        <w:t xml:space="preserve">Name:  Xxxxx X. Xxxxxxxx  </w:t>
        <w:br/>
        <w:t xml:space="preserve">Title: Head of Equity Capital Markets  </w:t>
        <w:br/>
        <w:t xml:space="preserve">  [Signature page to Underwriting Agreement]</w:t>
        <w:br/>
        <w:t xml:space="preserve">        SCHEDULE I</w:t>
        <w:br/>
        <w:t xml:space="preserve">  Name</w:t>
        <w:br/>
        <w:t xml:space="preserve">  Number of Firm</w:t>
        <w:br/>
        <w:t>Shares to be</w:t>
        <w:br/>
        <w:t>Purchased</w:t>
        <w:br/>
        <w:t xml:space="preserve">  Number of Firm</w:t>
        <w:br/>
        <w:t>Warrants to be</w:t>
        <w:br/>
        <w:t>Purchased</w:t>
        <w:br/>
        <w:t xml:space="preserve">  Number of Option </w:t>
        <w:br/>
        <w:t>Shares to be</w:t>
        <w:br/>
        <w:t>Purchased</w:t>
        <w:br/>
        <w:t xml:space="preserve">  Number of Optional</w:t>
        <w:br/>
        <w:t>Warrants to be</w:t>
        <w:br/>
        <w:t>Purchased</w:t>
        <w:br/>
        <w:t xml:space="preserve">Xxxx Capital Partners, LLC                </w:t>
        <w:br/>
        <w:t xml:space="preserve">                  Total                </w:t>
        <w:br/>
        <w:t xml:space="preserve">        SCHEDULE II</w:t>
        <w:br/>
        <w:t xml:space="preserve">  SENESTECH, INC.</w:t>
        <w:br/>
        <w:t xml:space="preserve">  [*] Shares of Common Stock</w:t>
        <w:br/>
        <w:t>Warrants to Purchase up to [*] Shares of Common Stock</w:t>
        <w:br/>
        <w:t xml:space="preserve">  Final Term Sheet</w:t>
        <w:br/>
        <w:t xml:space="preserve">  Issuer: SenesTech, Inc. (the “Company”)</w:t>
        <w:br/>
        <w:t xml:space="preserve">    Symbol: SNES</w:t>
        <w:br/>
        <w:t xml:space="preserve">    Securities: [*] shares of common stock, par value $0.001 per share (the “Common Stock”), of the Company and warrants (the “Warrants”) to purchase up to [*] shares of Common Stock at an exercise price of $[*] per share (subject to adjustment).  Each share of Common Stock is being sold together with a Warrant to purchase one share of Common Stock.</w:t>
        <w:br/>
        <w:t xml:space="preserve">    Exercisability of Warrants: The Warrants will be exercisable immediately and will expire five years from the original issuance date.</w:t>
        <w:br/>
        <w:t xml:space="preserve">    Over-allotment option: Up to an additional [*] shares of Common Stock at a price of $[*] per share and Warrants to purchase up to [*] shares of Common Stock at a price of $[*] per Warrant.</w:t>
        <w:br/>
        <w:t xml:space="preserve">    Public offering price: $[*] per share of Common Stock and related Warrant</w:t>
        <w:br/>
        <w:t xml:space="preserve">    Underwriting discount: $[*] per share of Common Stock and related Warrant</w:t>
        <w:br/>
        <w:t xml:space="preserve">    Expected net proceeds: Approximately $[*] million ($[*] million if the overallotment option is exercised in full) (after deducting the underwriting discount and estimated offering expenses payable by the Company).</w:t>
        <w:br/>
        <w:t xml:space="preserve">    Trade date:  </w:t>
        <w:br/>
        <w:t xml:space="preserve">    Settlement date:  </w:t>
        <w:br/>
        <w:t xml:space="preserve">    Underwriters: Xxxx Capital Partners, LLC and [_________]</w:t>
        <w:br/>
        <w:t xml:space="preserve">        SCHEDULE III</w:t>
        <w:br/>
        <w:t xml:space="preserve">  Free Writing Prospectus</w:t>
        <w:br/>
        <w:t xml:space="preserve">  [None]</w:t>
        <w:br/>
        <w:t xml:space="preserve">        SCHEDULE IV</w:t>
        <w:br/>
        <w:t xml:space="preserve">  Written Testing-the-Waters Communications</w:t>
        <w:br/>
        <w:t xml:space="preserve">  [None]</w:t>
        <w:br/>
        <w:t xml:space="preserve">        SCHEDULE V</w:t>
        <w:br/>
        <w:t xml:space="preserve">  List of officers, directors and stockholders executing lock-up agreements</w:t>
        <w:br/>
        <w:t xml:space="preserve">  · Xxxxxx Xxxxxx</w:t>
        <w:br/>
        <w:t>· Xxxxxx Xxxx</w:t>
        <w:br/>
        <w:t>· Xxxxxx Xxxxxxxxxx</w:t>
        <w:br/>
        <w:t>· Xxxxx Xxxxxxxx</w:t>
        <w:br/>
        <w:t>· Xxxxxxx Xxxxx</w:t>
        <w:br/>
        <w:t>· Xxxx Xxxxxx</w:t>
        <w:br/>
        <w:t>· Xxxx Xxxx</w:t>
        <w:br/>
        <w:t>· Xxx Xxxxxxxxxx</w:t>
        <w:br/>
        <w:t xml:space="preserve">        EXHIBIT A</w:t>
        <w:br/>
        <w:t xml:space="preserve">  Form of Underwriters’ Warrant</w:t>
        <w:br/>
        <w:t xml:space="preserve">  EXHIBIT B</w:t>
        <w:br/>
        <w:t xml:space="preserve">  Form of Lock-Up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