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March 23, 2017</w:t>
        <w:br/>
        <w:t xml:space="preserve">  XXXXXXX LYNCH, PIERCE, XXXXXX &amp; XXXXX INCORPORATED,</w:t>
        <w:br/>
        <w:t>As Underwriter and as Representative 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Fourth Amended and Restated Indenture, dated as of December 17, 2015, between the Issuer and The Bank of New York Mellon, as trustee (in such capacity, the “Indenture Trustee”), as acknowledged and accepted by Bank of America, National Association (the “Bank”), as servicer, as supplemented by the Third Amended and Restated BAseries Indenture Supplement, dated as of December 17, 2015,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(as amended by the First Amendment thereto, dated as of December 17, 2015,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the Company and Banc of America Consumer Card Services, LLC, a North Carolina limited liability company (“BACCS”), have entered into a Second Amended and Restated Receivables Purchase Agreement, dated as of July 8, 2015 (as amended by the First Amendment thereto, dated as of December 17, 2015, the “Receivables Purchase Agreement”), whereby the Bank sells to the Company all receivables arising in certain of the accounts designated by the Bank.  The Company has transferred and proposes to continue to transfer credit card receivables to the BA Master Credit Card Trust II (the “Master Trust”) pursuant to a Fourth Amended and Restated Pooling and Servicing Agreement, dated as of December 17, 2015 (as amended by the First Amendment thereto, dated as of December 9, 2016, and as amended or supplemented from time to time, the “Pooling and Servicing Agreement”), as supplemented by the Fifth Amended and Restated Series 2001‑D Supplement, dated as of December 17, 2015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  The Receivables (and the related accounts) will be subject to review by Xxxxxxx Fixed Income Services LLC (the “Asset Representations Reviewer”) in certain circumstances for compliance with certain representations and warranties made about the Receivables, in accordance with the Asset Representations Review Agreement, dated as of December 17, 2015 (as amended by the First Amendment thereto, dated as of May 25, 2016, and as may be further amended or supplemented from time to time, the “Asset Representations Review Agreement”), among the Company, the Bank, the Servicer and the Asset Representations Reviewer.</w:t>
        <w:br/>
        <w:t xml:space="preserve">  The Notes designated in the applicable Terms Agreement will be sold in a public offering by the Issuer through Xxxxxxx Lynch, Pierce, Xxxxxx &amp; Xxxxx Incorporated, as underwriter, or through certain underwriters which include Xxxxxxx Lynch, Pierce, Xxxxxx &amp; Xxxxx Incorporated, one or more of which may with Xxxxxxx Lynch, Pierce, Xxxxxx &amp; Xxxxx Incorporated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Xxxxxxx Lynch, Pierce, Xxxxxx &amp; Xxxxx Incorporated in its capacity as an Underwriter of any Notes or as a Representative).  Notes sold to the Underwriters for which Xxxxxxx Lynch, Pierce, Xxxxxx &amp; Xxxxx Incorporated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SF-3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as of the effective date, including all material incorporated by reference therein and including all information deemed to be part of the registration statement as of the effective date pursuant to Rule 430D under the Act, is referred to in this Agreement as the “Registration Statement.”  For purposes of this Agreement, the “effective date” means the later of (a) the date and time as of which the Registration Statement, or the most recent post-effective amendment thereto, if any, was declared effective by the Commission or (b) the most recent effective date as of which the Prospectus (as defined below) is deemed to be part of the Registration Statement pursuant to Rule 430D under the Act.</w:t>
        <w:br/>
        <w:t xml:space="preserve">  The Company proposes to file with the Commission pursuant to Rule 424(b) under the Act (“Rule 424(b)”) a final prospectus (such final prospectus, in the form most recently revised and filed with the Commission pursuant to Rule 424(b), together with any amendment thereof or supplement thereto, is hereinafter referred to as the “Prospectus”).</w:t>
        <w:br/>
        <w:t xml:space="preserve">  Prior to the time the first contract of sale for the Notes designated in the applicable Terms Agreement was entered into (such time, as set forth in the applicable Terms Agreement, the “Time of Sale”), the Company had prepared a Preliminary Prospectus, dated March 20, 2017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Upon the execution of the applicable Terms Agreement, the Company agrees with the Underwriters as follows:</w:t>
        <w:br/>
        <w:t xml:space="preserve">  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3</w:t>
        <w:br/>
        <w:t>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consummate the transactions contemplated by the Receivables Purchase Agreement, the Pooling and Servicing Agreement, the Asset Representations Review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Receivables Purchase Agreement, the Pooling and Servicing Agreement, the Asset Representations Review Agreement, this Agreement or the applicable Terms Agreement, except such as have been obtained and made under the Act, such as may be required under state securities laws and the filing of any financing statements required to perfect the Company’s interest in the Receivables;</w:t>
        <w:br/>
        <w:t xml:space="preserve">  4</w:t>
        <w:br/>
        <w:t xml:space="preserve"> (c)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Bank of the Receivables Purchase Agreement, the Pooling and Servicing Agreement, the Asset Representations Review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Receivables Purchase Agreement, the Pooling and Servicing Agreement, the Asset Representations Review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Receivables Purchase Agreement, the Pooling and Servicing Agreement, the Asset Representations Review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Preliminary Prospectus which are not filed or described as required;</w:t>
        <w:br/>
        <w:t xml:space="preserve">   (e)          Neither the execution, delivery and performance by the Bank of its obligations under the Receivables Purchase Agreement, the Pooling and Servicing Agreement, the Asset Representations Review Agreement, this Agreement or the applicable Terms Agreement, nor the consummation by the Bank of any other of the transactions contemplated in the Receivables Purchase Agreement, the Pooling and Servicing Agreement, the Asset Representations Review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(f)           The Receivables Purchase Agreement, the Pooling and Servicing Agreement, the Asset Representations Review Agreement, this Agreement and the applicable Terms Agreement have been duly authorized, executed and delivered by the Bank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Bank;</w:t>
        <w:br/>
        <w:t xml:space="preserve">  5</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 and</w:t>
        <w:br/>
        <w:t xml:space="preserve">   (i)          The Bank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(j)          The Bank expects to comply, as of the date hereof, and will comply, as of the Closing Date, in all material respects with Regulation RR, 17 C.F.R. §246.1, et seq. (the “Credit Risk Retention Rules”), either directly or (to the extent permitted by the Credit Risk Retention Rules) through a “Wholly-Owned Affiliate” (as defined in the Credit Risk Retention Rules). The Bank, or one or more of its Wholly-Owned Affiliates, expects to satisfy, as of the date hereof, and will satisfy, on the Closing Date, the Credit Risk Retention Rules by maintaining a “seller’s interest” (as defined in the Credit Risk Retention Rules) of not less than 5% of the aggregate unpaid principal balance of all outstanding investor “ABS Interests” (as defined in the Credit Risk Retention Rules) in the Issuer, determined in accordance with the Credit Risk Retention Rules, without any impermissible transfer, hedging or financing of such retained interest.</w:t>
        <w:br/>
        <w:t xml:space="preserve">  5.          Upon the execution of the applicable Terms Agreement, the Company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Company and the Registration Statement;</w:t>
        <w:br/>
        <w:t xml:space="preserve">  6</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Preliminary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statements or omissions made in reliance upon and in conformity with Underwriter Information;</w:t>
        <w:br/>
        <w:t xml:space="preserve">  7</w:t>
        <w:br/>
        <w:t xml:space="preserve"> (d)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March 20, 2017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the Asset Representations Review Agreement, this Agreement and the applicable Terms Agreement and to authorize the sale of the Notes, and to consummate the transactions contemplated by the Receivables Purchase Agreement, the Pooling and Servicing Agreement, the Asset Representations Review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the Asset Representations Review Agreement,  this Agreement and the applicable Terms Agreement have been duly authorized, executed and delivered by the Company and, when executed and delivered by the other parties hereto and thereto, each of the Receivables Purchase Agreement, the Pooling and Servicing Agreement, the Asset Representations Review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the Pooling and Servicing Agreement or the Asset Representations Review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8</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the Asset Representations Review Agreement, this Agreement or the applicable Terms Agreement.  The execution, delivery and performance by the Company of this Agreement, the applicable Terms Agreement, the Receivables Purchase Agreement, the Pooling and Servicing Agreement and the Asset Representations Review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Asset Representations Review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Preliminary Prospectus which are not filed or described as required;</w:t>
        <w:br/>
        <w:t xml:space="preserve">   (k)          Neither the execution, delivery and performance by the Company of its obligations under this Agreement, the Receivables Purchase Agreement, the Pooling and Servicing Agreement, the Asset Representations Review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the Asset Representations Review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9</w:t>
        <w:br/>
        <w:t xml:space="preserve"> (l)           The Company has complied and, at and as of the Closing Date, shall have complied in all material respects with Rule 193 of the Act and Items 1111(a)(7) and 1111(a)(8) of Regulation AB under the Act in connection with the offering of the Notes;</w:t>
        <w:br/>
        <w:t xml:space="preserve">   (m)          The Company was not, on the date on which the first bona fide offer of the Notes sold pursuant to the applicable Terms Agreement was made, an “ineligible issuer” as defined in Rule 405 under the Act;</w:t>
        <w:br/>
        <w:t xml:space="preserve">   (n)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 and</w:t>
        <w:br/>
        <w:t xml:space="preserve">   (o)          The Company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6.          Upon the execution of the applicable Terms Agreement, the Issuer represents, warrants and covenants to each Underwriter that:</w:t>
        <w:br/>
        <w:t xml:space="preserve">   (a)          The Registration Statement on Form SF‑3 (having the registration number stated in the applicable Terms Agreement), including the form of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SF‑3 under the Act, as set forth in the General Instructions to Form SF‑3, have been satisfied with respect to the Issuer and the Registration Statement;</w:t>
        <w:br/>
        <w:t xml:space="preserve">   (b)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Preliminary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Preliminary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10</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Prospectus); provided, however, that this representation and warranty shall not apply to any statement or omission made in reliance upon and in conformity with Underwriter Information;</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11</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Preliminary Prospectus which are not filed or described as required;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 and</w:t>
        <w:br/>
        <w:t xml:space="preserve">  12</w:t>
        <w:br/>
        <w:t xml:space="preserve"> (m)          The Issuer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the Prospectus setting forth the amount of Notes covered thereby and the terms thereof not otherwise specified in the Preliminary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13</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14</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Preliminary Prospectus, the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Asset Representations Review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15</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the Preliminary Prospectus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Receivables Purchase Agreement, the Pooling and Servicing Agreement, the Asset Representations Review Agreement, the Indenture, the Collateral Certificate and the Notes conform in all material respects to the descriptions thereof contained in the Registration Statement, in the form in which it became effective, and the Prospectus;</w:t>
        <w:br/>
        <w:t xml:space="preserve">  16</w:t>
        <w:br/>
        <w:t>(iii)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Such counsel also shall state that they have participated in conferences with representatives of the Bank, the Company, the Issuer and their accountants, the Underwriters and counsel to the Underwriters concerning the Registration Statement, the Preliminary Prospectus, the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(i) the Registration Statement, when taken together with the Ratings Issuer Free Writing Prospectus (excluding any exhibits filed therewith), at the time it became effective, insofar as it relates to the Notes, contained an untrue statement of a material fact or omitted to state any material fact required to be stated therein or necessary in order to make the statements therein, in light of the circumstances under which they were made, not misleading; (ii) the Preliminary Prospectus, when taken together with the Ratings Issuer Free Writing Prospectus, as of the Time of Sale, insofar as it relates to the Notes, contained an untrue statement of a material fact or omitted to state any material fact required to be stated therein or necessary in order to make the statements therein, in light of the circumstances under which they were made, not misleading; or (iii) the Prospectus, when taken together with the Ratings Issuer Free Writing Prospectus, as of its date or as of the Closing Date, insofar as it relates to the Notes,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17</w:t>
        <w:br/>
        <w:t>(e)          The Representative shall have received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the Company under the Federal Deposit Insurance Act, as amended by the Financial Institutions Reform, Recovery and Enforcement Act of 1989.  In addition, the Representative shall have received a reliance letter with respect to any opinion that the Bank,  the Company or the Issuer is required to deliver to a Hired NRSRO, unless the Representative is entitled to receive a substantially similar opinion on the same subject matter under this Agreement or the applicable Terms Agreement.</w:t>
        <w:br/>
        <w:t xml:space="preserve">  (f)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with respect to (i) the perfection of the Company’s interest in the Receivables and (ii) matters relating to the perfection of the Indenture Trustee’s interest in the Collateral Certificate and the proceeds thereof.</w:t>
        <w:br/>
        <w:t xml:space="preserve">  (h)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Issuer, the validity of the Notes, the Registration Statement, the Preliminary Prospectus, the Prospectus and other related matters as the Representative may require, and the Company shall have furnished to such counsel such documents as they may reasonably request for the purpose of enabling them to pass upon such matters.</w:t>
        <w:br/>
        <w:t xml:space="preserve">  18</w:t>
        <w:br/>
        <w:t xml:space="preserve"> (i)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(j)           The Representative shall have received a certificate, dated the Closing Date, of an authorized officer of the Company in which such officer, to his or her knowledge after due inquiry, shall state (i) that the representations and warranties of the Company in this Agreement are true and correct in all material respects on and as of the Closing Date, (ii) that the Company has complied with all agreements and satisfied all conditions on its part to be performed or satisfied hereunder and under the applicable Terms Agreement at or prior to the Closing Date, (iii)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(iv) that the Registration Statement has become effective and remains effective, (v) that no stop order suspending the effectiveness of the Registration Statement has been issued and no proceedings for that purpose have been instituted or are threatened by the Commission and (vi) that, subsequent to the Time of Sale, there has been no material adverse change in the financial position or results of operation of the Company’s credit card business except as set forth in or contemplated by the Preliminary Prospectus.</w:t>
        <w:br/>
        <w:t xml:space="preserve">   (k)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 and is authorized and qualified to accept the trusts imposed by the Pooling and Servicing Agreement and to act as Master Trust Trustee under the  Pooling and Servicing Agreement;</w:t>
        <w:br/>
        <w:t xml:space="preserve">  (ii)          The Pooling and Servicing Agreement has been duly authorized, executed and delivered by the Master Trust Trustee;</w:t>
        <w:br/>
        <w:t xml:space="preserve">  19</w:t>
        <w:br/>
        <w:t>(iii)         The Master Trust Trustee has duly executed and authenticated the Collateral Certificate;</w:t>
        <w:br/>
        <w:t xml:space="preserve">  (iv)         The execution and delivery of the Pooling and Servicing Agreement by the Master Trust Trustee and the performance by the Master Trust Trustee of its terms do not conflict with or result in a violation of (x) any law or regulation of the United States of America or the State of New York governing the banking or trust powers of the Master Trust Trustee, or (y) the organization certificate or by-laws of the Master Trust Trustee; and</w:t>
        <w:br/>
        <w:t xml:space="preserve">  (v)          No approval, authorization or other action by, or filing with, any governmental authority of the United States of America or the State of New York having jurisdiction over the banking or trust powers of the Master Trust Trustee is required in connection with the execution and delivery by the Master Trust Trustee of the Pooling and Servicing Agreement or the performance by the Master Trust Trustee thereunder, except such as have been obtained, taken or made.</w:t>
        <w:br/>
        <w:t xml:space="preserve">   (l)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(m)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20</w:t>
        <w:br/>
        <w:t>(v)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(n)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substantially to the effect that:</w:t>
        <w:br/>
        <w:t xml:space="preserve">  (i)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Receivables Purchase Agreement, the Pooling and Servicing Agreement and the Asset Representations Review Agreement;</w:t>
        <w:br/>
        <w:t xml:space="preserve">  (iii)         The Bank has taken all necessary action to authorize the execution, delivery and performance of this Agreement, the applicable Terms Agreement, the Receivables Purchase Agreement, the Pooling and Servicing Agreement and the Asset Representations Review Agreement.  This Agreement, the applicable Terms Agreement, the Receivables Purchase Agreement, the Pooling and Servicing Agreement and the Asset Representations Review Agreement have been duly authorized, executed and delivered by the Bank;</w:t>
        <w:br/>
        <w:t xml:space="preserve">  (iv)         The execution, delivery and performance of this Agreement, the applicable Terms Agreement, the Receivables Purchase Agreement, the Pooling and Servicing Agreement and the Asset Representations Review Agreement by the Bank will not violate the Bank’s Articles of Association or Bylaws;</w:t>
        <w:br/>
        <w:t xml:space="preserve">  (v)          The execution, delivery and performance of this Agreement, the applicable Terms Agreement, the Receivables Purchase Agreement, the Pooling and Servicing Agreement and the Asset Representations Review Agreement by the Bank will not violate any law, rule or regulation of the State of North Carolina generally applicable to transactions of the type contemplated by this Agreement, the applicable Terms Agreement, the Receivables Purchase Agreement, the Pooling and Servicing Agreement or the Asset Representations Review Agreement (except that such counsel need not express any opinion with respect to the state securities or “blue sky” laws of the State of North Carolina); and</w:t>
        <w:br/>
        <w:t xml:space="preserve">  21</w:t>
        <w:br/>
        <w:t>(vi)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Receivables Purchase Agreement, the Pooling and Servicing Agreement or the Asset Representations Review Agreement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(other than, from time to time as necessary and appropriate, the filing of financing statements with the Secretary of State of the State of North Carolina).</w:t>
        <w:br/>
        <w:t xml:space="preserve">   (o)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Receivables Purchase Agreement, the Pooling and Servicing Agreement and the Asset Representations Review Agreement do not, and the performance by the Bank of its obligations under this Agreement, the applicable Terms Agreement, the Receivables Purchase Agreement, the Pooling and Servicing Agreement and the Asset Representations Review Agreement, will not, violate any existing federal law, rule or regulation of the United States generally applicable to transactions of the type contemplated by this Agreement, the applicable Terms Agreement, the Receivables Purchase Agreement, the Pooling and Servicing Agreement and the Asset Representations Review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Receivables Purchase Agreement, the Pooling and Servicing Agreement and the Asset Representations Review Agreement solely as a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 except for such authorizations, consents, approvals or orders as have been obtained by the Bank on or prior to the date hereof.</w:t>
        <w:br/>
        <w:t xml:space="preserve">   (p)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22</w:t>
        <w:br/>
        <w:t>(i)           The execution and delivery by the Bank of this Agreement, the applicable Terms Agreement, the Receivables Purchase Agreement, the Pooling and Servicing Agreement and the Asset Representations Review Agreement, and the performance by the Bank of its obligations hereunder or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Receivables Purchase Agreement, the Pooling and Servicing Agreement and the Asset Representations Review Agreement, or the performance by the Bank of its obligations hereunder or thereunder;</w:t>
        <w:br/>
        <w:t xml:space="preserve">  (iii)         The Company is a limited liability company formed under the laws of Delaware and is authorized to transact its business as described in its limited liability company agreement, including to own its assets and to transact its business as described in the Prospectus, and has the power and authority to acquire and own the Receivables;</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the Asset Representations Review Agreement  and the Trust Agreement;</w:t>
        <w:br/>
        <w:t xml:space="preserve">  (v)          Each of this Agreement, the applicable Terms Agreement, the Receivables Purchase Agreement, the Pooling and Servicing Agreement, the Asset Representations Review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the Asset Representations Review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the Asset Representations Review Agreement or the Trust Agreement violates the provisions of the Company’s limited liability company agreement;</w:t>
        <w:br/>
        <w:t xml:space="preserve">  23</w:t>
        <w:br/>
        <w:t>(viii)       The Issuer has been duly created and is validly existing in good standing as a statutory trust under the Delaware Statutory Trust Act, 12 Del.C. § 3801, et seq. (referred to in this subsection (p)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(xi)          The Trust Agreement and the Act authorize the Issuer to execute and deliver the Indenture and the other transaction documents referred to in such opinion (collectively referred to in this subsection (p) as the “Trust Documents”), to issue the Notes and the trust certificate (referred to in this subsection (p) as the “Trust Certificate”) and to grant the Collateral to the Indenture Trustee as security for the Notes;</w:t>
        <w:br/>
        <w:t xml:space="preserve">  (xii)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t xml:space="preserve">  (xiii)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t xml:space="preserve">  (xiv)       Neither the execution, delivery and performance by the Company of its obligations under this Agreement, the applicable Terms Agreement, the Receivables Purchase Agreement, the Asset Representations Review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t xml:space="preserve">  (xv)        The Trust Certificate has been validly issued and is entitled to the benefits of the Trust Agreement;</w:t>
        <w:br/>
        <w:t xml:space="preserve">  (xvi)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24</w:t>
        <w:br/>
        <w:t>(xvii)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        The Owner Trustee is not required to hold legal title to the owner trust estate in order for the Issuer to qualify as a statutory trust under the Act;</w:t>
        <w:br/>
        <w:t xml:space="preserve">  (xxii)       There is no stamp, documentary or other excise tax imposed by the State of Delaware upon the perfection of a security interest in the Collateral Certificate;</w:t>
        <w:br/>
        <w:t xml:space="preserve">  (xxiii)      There is no stamp, documentary or other excise tax imposed by the State of Delaware upon the transfer of the Collateral Certificate to or from the Issuer;</w:t>
        <w:br/>
        <w:t xml:space="preserve">  (xxiv)      The corpus of the Issuer is not subject to any personal property or similar ad valorem tax imposed by the State of Delaware;</w:t>
        <w:br/>
        <w:t xml:space="preserve">  25</w:t>
        <w:br/>
        <w:t>(xxv)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(xxvi)     There is no stamp, documentary or other excise tax imposed by the State of Delaware upon the Notes;</w:t>
        <w:br/>
        <w:t xml:space="preserve">  (xxvii)     There is no income tax imposed by the City of Wilmington, Delaware, upon the Issuer and the City of Wilmington, Delaware, is prohibited by Delaware State law from imposing a personal property tax upon or measured by the corpus of the Issuer; and</w:t>
        <w:br/>
        <w:t xml:space="preserve">  (xxviii)    The Beneficiary (as defined in the Trust Agreement) is the sole beneficial owner of the Issuer.</w:t>
        <w:br/>
        <w:t xml:space="preserve">   (q)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(r)           The Underwriters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 and is authorized and qualified to accept the trusts imposed by the Indenture and to act as Indenture Trustee under the Indenture;</w:t>
        <w:br/>
        <w:t xml:space="preserve">  (ii)          The Indenture has been duly authorized, executed and delivered by the Indenture Trustee;</w:t>
        <w:br/>
        <w:t xml:space="preserve">  26</w:t>
        <w:br/>
        <w:t>(iii)         The Indenture Trustee has duly executed and authenticated the Notes on the Closing Date;</w:t>
        <w:br/>
        <w:t xml:space="preserve">  (iv)         The execution and delivery of the Indenture by the Indenture Trustee and the performance by the Indenture Trustee of the terms of the Indenture do not conflict with or result in a violation of (x) any law or regulation of the United States of America or the State of New York governing the banking or trust powers of the Indenture Trustee, or (y) the organization certificate or by-laws of the Indenture Trustee; and</w:t>
        <w:br/>
        <w:t xml:space="preserve">  (v)          No approval, authorization or other action by, or filing with, any governmental authority of the United States of America or the State of New York having jurisdiction over the banking or trust powers of the Indenture Trustee is required in connection with the execution and delivery by the Indenture Trustee of the Indenture or the performance by the Indenture Trustee thereunder, except such as have been obtained, taken or made.</w:t>
        <w:br/>
        <w:t xml:space="preserve">   (s)          You shall have received confirmation of receipt by the Bank of ratings letters from each Hired NRSRO and the Ratings Issuer Free Writing Prospectus shall have been filed with the Commission.</w:t>
        <w:br/>
        <w:t xml:space="preserve">   (t)           The Representative shall have received an opinion of Xxxxxx X. Xxxxxx, General Counsel of the Asset Representations Reviewer, subject to customary scope, qualifications, assumptions, limitations and exceptions, dated the Closing Date, in form and substance reasonably satisfactory to the Representative and its counsel.</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27</w:t>
        <w:br/>
        <w:t xml:space="preserve"> (b)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in the row captioned “Price to public” and (b) the information in the table, the third and ninth paragraphs and the third sentence of the twelfth paragraph  under the heading “Underwriting (Plan of Distribution, Conflicts of Interest and Proceeds)” in the Prospectus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28</w:t>
        <w:br/>
        <w:t xml:space="preserve"> (d)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29</w:t>
        <w:br/>
        <w:t>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Xxxxxxx Lynch, Pierce, Xxxxxx &amp; Xxxxx Incorporated, at Xxx Xxxxxx Xxxx, Xxx Xxxx, XX 00000, Attention: Xxxxxxxx Xxxxxxx, or to such other address as the Representative may designate in writing to the Bank, the Company, and the Issuer.</w:t>
        <w:br/>
        <w:t xml:space="preserve">  30</w:t>
        <w:br/>
        <w:t>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31</w:t>
        <w:br/>
        <w:t xml:space="preserve"> (c)          Each of the Underwriters, severally and not jointly, represents that it has not engaged any third party to provide due diligence services within the meaning of Rule 17g-10(d)(1) under the Exchange Act or obtained any third-party due diligence report within the meaning of Rule 15Ga-2(d) under the Exchange Act with respect to the assets held by the Master Trust in connection with the transactions contemplated by this Agreement.</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that (a) it has not entered, and will not enter, into any contract of sale for the Notes (subject to the proviso to clause (ii) below) until at least the later of (i) three business days after the Preliminary Prospectus has been initially filed by the Company with the Commission (as determined by reference to the “Filing Date” according to the “Filing Detail” webpage for the Company related to such filing, as made available on the Commission’s website) and (ii) 48 hours after any supplement to the Preliminary Prospectus that reflects a material change from the information contained in the Preliminary Prospectus has been filed by the Company with the Commission (as determined by reference to the time such filing was “Accepted” according to the “Filing Detail” webpage for the Company related to such filing, as made available on the Commission’s website); provided, however, that in the case of any such contract of sale entered into before the filing of a supplement as referred to in this clause (ii), it will not consummate such transaction without entering into a new contract of sale in accordance with this clause (ii); (b) that it did not enter into any contract of sale for any Notes prior to the Time of Sale; and (c) it will, at any time that such Underwriter is acting as an “underwriter” (as defined in Section 2(a)(11) of the Act) with respect to the Notes, convey to each investor to whom Notes are sold by it during the period prior to the filing of the Prospectus (as notified to the Underwriters by the Company), at or prior to the applicable time of any such contract of sale with respect to such investor, the Preliminary Prospectus.</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32</w:t>
        <w:br/>
        <w:t>21.        In relation to each member State of the European Economic Area (each, a “Relevant Member State”) which has implemented the Prospectus Directive (as defined below) each Underwriter, severally and not jointly, has represented and agreed that from and including the date on which the Prospectus Directive is implemented in the Relevant Member State it has not made and will not make an offer of the Notes to the public in any Relevant Member State other than to any legal entity which is a qualified investor as defined in the Prospectus Directive, provided, that no such offer of Notes shall require the Issuer or any Underwriter to publish a prospectus pursuant to Article 3 of the Prospectus Directive or supplement a prospectus pursuant to Article 16 of the Prospectus Directive.  For the purposes of this provision, (A)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Relevant Member State by any measure implementing the Prospectus Directive in that Relevant Member State, and (B) the term “Prospectus Directive” means Directive 2003/71/EC (and amendments thereto, including Directive 2010/73/EU), and includes any relevant implementing measure in the Relevant Member State.</w:t>
        <w:br/>
        <w:t xml:space="preserve">  22.        This Agreement shall become effective upon execution and delivery of the applicable Terms Agreement.</w:t>
        <w:br/>
        <w:t xml:space="preserve">  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33</w:t>
        <w:br/>
        <w:t>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 xml:space="preserve">  34</w:t>
        <w:br/>
        <w:t>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Very truly yours,</w:t>
        <w:br/>
        <w:t xml:space="preserve">        BANK OF AMERICA, NATIONAL ASSOCIATION</w:t>
        <w:br/>
        <w:t xml:space="preserve">      By: </w:t>
        <w:br/>
        <w:t>/s/ Xxxxx X. Xxxxxx</w:t>
        <w:br/>
        <w:t xml:space="preserve">  Name: Xxxxx X. Xxxxxx</w:t>
        <w:br/>
        <w:t xml:space="preserve">  Title: Vice President</w:t>
        <w:br/>
        <w:t xml:space="preserve">    BA CREDIT CARD TRUST</w:t>
        <w:br/>
        <w:t xml:space="preserve">      By:</w:t>
        <w:br/>
        <w:t>BA CREDIT CARD FUNDING, LLC,</w:t>
        <w:br/>
        <w:t xml:space="preserve">    not in its individual capacity but solely as Beneficiary on behalf of the Issuer</w:t>
        <w:br/>
        <w:t xml:space="preserve">    By:</w:t>
        <w:br/>
        <w:t>/s/ Xxxxx X. Xxxxxx</w:t>
        <w:br/>
        <w:t xml:space="preserve">    Name: Xxxxx X. Xxxxxx</w:t>
        <w:br/>
        <w:t xml:space="preserve">    Title: Vice President</w:t>
        <w:br/>
        <w:br/>
        <w:t xml:space="preserve">  BA CREDIT CARD FUNDING, LLC</w:t>
        <w:br/>
        <w:t xml:space="preserve">      By:</w:t>
        <w:br/>
        <w:t>/s/ Xxxxx X. Xxxxxx</w:t>
        <w:br/>
        <w:t xml:space="preserve">    Name: Xxxxx X. Xxxxxx</w:t>
        <w:br/>
        <w:t xml:space="preserve">    Title: Vice President</w:t>
        <w:br/>
        <w:t xml:space="preserve">  [Signature Page to the BA Credit Card Trust</w:t>
        <w:br/>
        <w:t>(BAseries Class A(2017-1)) Underwriting Agreement]</w:t>
        <w:br/>
        <w:t xml:space="preserve">  The foregoing Underwriting Agreement is hereby confirmed and accepted as of the date first above written.</w:t>
        <w:br/>
        <w:t xml:space="preserve">  XXXXXXX LYNCH, PIERCE, XXXXXX &amp; XXXXX INCORPORATED,</w:t>
        <w:br/>
        <w:t xml:space="preserve">  As Underwriter and as Representative of the Underwriters named in Schedule I to the Terms Agreement</w:t>
        <w:br/>
        <w:br/>
        <w:t>By:</w:t>
        <w:br/>
        <w:t xml:space="preserve"> /s/ Xxxxxxxx X. Xxxxxxx</w:t>
        <w:br/>
        <w:t xml:space="preserve">    Name: Xxxxxxxx X. Xxxxxxx</w:t>
        <w:br/>
        <w:t xml:space="preserve">    Title:  Managing Director</w:t>
        <w:br/>
        <w:t xml:space="preserve">    [Signature Page to the BA Credit Card Trust</w:t>
        <w:br/>
        <w:t>(BAseries Class A(2017-1)) Underwriting Agreement]</w:t>
        <w:br/>
        <w:t xml:space="preserve">  EXHIBIT A</w:t>
        <w:br/>
        <w:br/>
        <w:t>BA CREDIT CARD TRUST</w:t>
        <w:br/>
        <w:t>SERIES ____</w:t>
        <w:br/>
        <w:t>ASSET BACKED NOTES</w:t>
        <w:br/>
        <w:t>TERMS AGREEMENT</w:t>
        <w:br/>
        <w:t xml:space="preserve">  Dated:</w:t>
        <w:br/>
        <w:t xml:space="preserve">  To:</w:t>
        <w:br/>
        <w:t>BA CREDIT CARD FUNDING, LLC</w:t>
        <w:br/>
        <w:t xml:space="preserve">  Re:</w:t>
        <w:br/>
        <w:t>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t xml:space="preserve">  Initial Principal</w:t>
        <w:br/>
        <w:t>Amount</w:t>
        <w:br/>
        <w:t xml:space="preserve">    Interest Rate</w:t>
        <w:br/>
        <w:t>or Formula</w:t>
        <w:br/>
        <w:t xml:space="preserve">    Price to</w:t>
        <w:br/>
        <w:t>Public</w:t>
        <w:br/>
        <w:t>[Class    ]</w:t>
        <w:br/>
        <w:t xml:space="preserve">        [Class    ]</w:t>
        <w:br/>
        <w:t xml:space="preserve">        [Class    ]</w:t>
        <w:br/>
        <w:t xml:space="preserve">          Interest Payment Dates:  _______________, _______________,</w:t>
        <w:br/>
        <w:t xml:space="preserve">  ______________ and _______________, commencing _____________ __, _____.</w:t>
        <w:br/>
        <w:t xml:space="preserve">  Indenture: </w:t>
        <w:br/>
        <w:t xml:space="preserve">  Indenture Supplement:</w:t>
        <w:br/>
        <w:t xml:space="preserve">  A-1</w:t>
        <w:br/>
        <w:t xml:space="preserve">Pooling and Servicing Agreement: </w:t>
        <w:br/>
        <w:t xml:space="preserve">  Series Supplement: </w:t>
        <w:br/>
        <w:t xml:space="preserve">  Purchase Price:</w:t>
        <w:br/>
        <w:t xml:space="preserve">  The purchase price payable by the Underwriters for the Notes covered by this Agreement will be the following percentage of the principal amounts to be issued:</w:t>
        <w:br/>
        <w:t xml:space="preserve"> </w:t>
        <w:br/>
        <w:t xml:space="preserve">  Per [Class   ]</w:t>
        <w:br/>
        <w:t>Notes __________%</w:t>
        <w:br/>
        <w:t xml:space="preserve">    [Per Class [  ]</w:t>
        <w:br/>
        <w:t>Notes __________%]</w:t>
        <w:br/>
        <w:t xml:space="preserve">    [Per Class [  ]</w:t>
        <w:br/>
        <w:t>Notes __________%]</w:t>
        <w:br/>
        <w:t xml:space="preserve">    Registration Statement: </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Discounts and Concessions</w:t>
        <w:br/>
        <w:t xml:space="preserve">    Selling Concessions</w:t>
        <w:br/>
        <w:t xml:space="preserve">    Reallowance</w:t>
        <w:br/>
        <w:t>[Class    ] ___%</w:t>
        <w:br/>
        <w:t xml:space="preserve">  ___%</w:t>
        <w:br/>
        <w:t xml:space="preserve">  ___%</w:t>
        <w:br/>
        <w:t>[[Class    ] ___%</w:t>
        <w:br/>
        <w:t xml:space="preserve">  ___%</w:t>
        <w:br/>
        <w:t xml:space="preserve">  ___%]</w:t>
        <w:br/>
        <w:t>[[Class    ] ___%</w:t>
        <w:br/>
        <w:t xml:space="preserve">  ___%</w:t>
        <w:br/>
        <w:t xml:space="preserve">  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Closing Date:  Pursuant to Rule 15c6‑1(d) under the Securities Exchange Act of 1934, as amended, the Underwriters, the Company, the Bank and the Issuer hereby agree that the Closing Date shall be [______] [__], [____], [_]:[_] a.m., New York City time.</w:t>
        <w:br/>
        <w:t xml:space="preserve">  A-2</w:t>
        <w:br/>
        <w:t xml:space="preserve">Location of Closing: </w:t>
        <w:br/>
        <w:t xml:space="preserve">  Payment for the Notes: </w:t>
        <w:br/>
        <w:t xml:space="preserve">  Opinion Modifications: </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t xml:space="preserve">  [__________],</w:t>
        <w:br/>
        <w:t xml:space="preserve">  [As Representative of the Underwriters named in Schedule I hereto]</w:t>
        <w:br/>
        <w:t xml:space="preserve"> </w:t>
        <w:br/>
        <w:t xml:space="preserve">  By:</w:t>
        <w:br/>
        <w:t xml:space="preserve">        Name:</w:t>
        <w:br/>
        <w:t xml:space="preserve">      Title:</w:t>
        <w:br/>
        <w:t xml:space="preserve">    Accepted:</w:t>
        <w:br/>
        <w:t xml:space="preserve">  BANK OF AMERICA, NATIONAL ASSOCIATION</w:t>
        <w:br/>
        <w:t xml:space="preserve">      By:</w:t>
        <w:br/>
        <w:t xml:space="preserve">       Name:</w:t>
        <w:br/>
        <w:t xml:space="preserve">  Title:</w:t>
        <w:br/>
        <w:t xml:space="preserve">    A-3</w:t>
        <w:br/>
        <w:t>BA CREDIT CARD TRUST</w:t>
        <w:br/>
        <w:t xml:space="preserve">  By:</w:t>
        <w:br/>
        <w:t>BA CREDIT CARD FUNDING, LLC,</w:t>
        <w:br/>
        <w:t xml:space="preserve">  not in its individual capacity but solely as Beneficiary on behalf of the Issuer</w:t>
        <w:br/>
        <w:t xml:space="preserve">  By:</w:t>
        <w:br/>
        <w:t xml:space="preserve">    Name:</w:t>
        <w:br/>
        <w:t xml:space="preserve">    Title:</w:t>
        <w:br/>
        <w:t xml:space="preserve">    BA CREDIT CARD FUNDING, LLC</w:t>
        <w:br/>
        <w:t xml:space="preserve">        By:</w:t>
        <w:br/>
        <w:t xml:space="preserve">      Name:</w:t>
        <w:br/>
        <w:t xml:space="preserve">    Title:</w:t>
        <w:br/>
        <w:t xml:space="preserve">    A-4</w:t>
        <w:br/>
        <w:t>SCHEDULE I</w:t>
        <w:br/>
        <w:t xml:space="preserve">  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Principal Amount</w:t>
        <w:br/>
        <w:t>[Names of Underwriters]</w:t>
        <w:br/>
        <w:t>$</w:t>
        <w:br/>
        <w:t xml:space="preserve">        ____</w:t>
        <w:br/>
        <w:t xml:space="preserve">  $         ____</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