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99.B(e)(iii)</w:t>
        <w:br/>
        <w:t xml:space="preserve">  FIRST AMENDMENT</w:t>
        <w:br/>
        <w:t>TO UNDERWRITINGAGREEMENT</w:t>
        <w:br/>
        <w:t xml:space="preserve">  This first amendment (the “Amendment”) to the Underwriting Agreement dated as of May 31, 2017 (the “Agreement”), by and between Foreside Funds Distributors LLC (“Foreside”), and FundVantage Trust (the “Trust”), is entered into as of August 1, 2017 (the “Effective Date”).</w:t>
        <w:br/>
        <w:t xml:space="preserve">  WHEREAS, Foreside and the Trust (the “Parties”) desire to amend the Agreement to reflect an updated list of funds;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 to reflect an updated list of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