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VOTING AGREEMENT AND IRREVOCABLE PROXY</w:t>
        <w:br/>
        <w:t xml:space="preserve">  THIS VOTING AGREEMENT AND IRREVOCABLE PROXY (“Agreement”) is entered into as of October 17, 2023, by and between Intrepid Global Advisors, Inc., a Delaware corporation (“IGA”), and the undersigned stockholder (“Stockholder”) of Reviv3 Procare Company, a Delaware corporation (“Company”). IGA and Stockholder are individually referred to herein as a “Party” and, collectively as the “Parties.”</w:t>
        <w:br/>
        <w:t xml:space="preserve">  RECITALS:</w:t>
        <w:br/>
        <w:t xml:space="preserve">  WHEREAS, the execution and delivery of this Agreement by Stockholder is a condition of IGA providing certain valuable advisory services to Stockholder.</w:t>
        <w:br/>
        <w:t xml:space="preserve">  WHEREAS, Xxxxxxxxxxx understands and acknowledges that the Company and IGA is entitled to rely on (i) the truth and accuracy of Stockholder’s representations contained herein, and (ii) Stockholder’s performance of the obligations set forth herein.</w:t>
        <w:br/>
        <w:t xml:space="preserve">  WHEREAS, the Company and IGA understand and acknowledge that Stockholder is entitled to rely on (i) the truth and accuracy of the Company’s and IGA’s representations contained herein, and (ii) the Company’s and IGA’s performance of the obligations set forth herein.</w:t>
        <w:br/>
        <w:t xml:space="preserve">  NOW, THEREFORE, in consideration of the promises and the covenants and agreements set forth herein, and other good and valuable consideration, the receipt and sufficiency of which are hereby acknowledged, the Parties hereto hereby agree as follows:</w:t>
        <w:br/>
        <w:t xml:space="preserve">  1. Restrictions on Shares.</w:t>
        <w:br/>
        <w:t xml:space="preserve">  a) Except pursuant to the written consent of IGA (which may be withheld in its sole discretion), Stockholder shall not, directly or indirectly, effect a private transfer or sale (except as may be specifically required by court order or by operation of law), grant an option with respect to, exchange, pledge or otherwise dispose of, reduce its economic risk in, or encumber, the Shares (as defined in below) or any New Shares (as defined in below), or make any offer or enter into any agreement or binding arrangement or commitment providing for any of the foregoing, at any time prior to the Expiration Time (as defined below); , , that Stockholder may transfer or otherwise dispose of Shares and New Shares without the written consent of IGA (i) to any member of Stockholder’s immediate family, (ii) to a trust for the benefit of Stockholder or any member of Stockholder’s immediate family for estate planning purposes, (iii) to a charitable organization qualified under Section 501(c)(3) of the Internal Revenue Code of 1986, as amended, (iv) in connection with or for the purpose of personal tax-planning, or (v) to buyers in open market brokered transactions in accordance with applicable securities laws; , further, that any transfer referred to in the foregoing clauses (i) through (iv) and the introductory language , or in the event IGA consents to a private transfer or sale or encumbrance, shall only be permitted if, as a precondition to such transfer or encumbrance, the transferee or secured party agrees to be bound by the terms and conditions of this Agreement and, if requested by IGA, to execute a Proxy (as defined in below). As used herein, the term “” shall mean the earlier to occur of (A) October 17, 2026, (B) such date and time designated by IGA in a written notice to Stockholder, or (C) the written agreement of the Parties hereto to terminate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