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Final Form</w:t>
        <w:br/>
        <w:t xml:space="preserve">  FORM OF</w:t>
        <w:br/>
        <w:t xml:space="preserve">  COMTECH TELECOMMUNICATIONS CORP.</w:t>
        <w:br/>
        <w:t xml:space="preserve">  VOTING AGREEMENT</w:t>
        <w:br/>
        <w:t xml:space="preserve">      VOTING AGREEMENT</w:t>
        <w:br/>
        <w:t xml:space="preserve">  THIS VOTING AGREEMENT (this “Agreement”), is made and entered into as of October 17, 2024, by and between Comtech Telecommunications Corp., a Delaware corporation (the “Company”), and the undersigned [Magnetar] / [White Hat] Investors (each, an “Investor”; together, the “Investors”). Capitalized terms used but not defined herein shall have their respective meanings set forth in that certain Subscription and Exchange Agreement (the “Subscription and Exchange Agreement”), dated as of October 17, 2024, by and among the Company, Investors, and certain other parties thereto.</w:t>
        <w:br/>
        <w:t xml:space="preserve">  RECITALS</w:t>
        <w:br/>
        <w:t xml:space="preserve">  A. The Company has authorized a new series of its preferred stock titled the “Series B-2 Convertible Preferred Stock,” par value $0.10 per share, with an initial stated value of $1,067.87 per share (the “”), in an aggregate number of 175,263.58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