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VOTING AGREEMENT</w:t>
        <w:br/>
        <w:t xml:space="preserve">  This Voting Agreement (this “Agreement”), dated as of November 12, 2024, is entered into by and among Charter Communications, Inc., a Delaware corporation (“Parent”), Liberty Broadband Corporation, a Delaware corporation (the “Company”), and each of the undersigned stockholders of the Company (each, a “Stockholder” and together, the “Stockholders”).</w:t>
        <w:br/>
        <w:t xml:space="preserve">  WHEREAS, subject to the terms and conditions of the Agreement and Plan of Merger (as the same may be amended, supplemented or modified, the “Merger Agreement”), dated as of the date hereof, among Parent, Fusion Merger Sub 1, LLC, a Delaware limited liability company and direct Wholly Owned Subsidiary of Parent (“Merger LLC”), Fusion Merger Sub 2, Inc., a Delaware corporation and direct Wholly Owned Subsidiary of Merger LLC (“Merger Sub”), and the Company, among other transactions contemplated by the Merger Agreement, Merger Sub will be merged with and into the Company (the “Merger”), with the Company surviving the Merger as a Wholly Owned Subsidiary of Parent, and immediately thereafter the Company will be merged with and into Merger LLC (the “Upstream Merger”), with Merger LLC surviving the Upstream Merger as a direct Wholly Owned Subsidiary of Parent;</w:t>
        <w:br/>
        <w:t xml:space="preserve">  WHEREAS, as of the date of this Agreement, each Stockholder owns beneficially (references herein to “beneficial owner,” “beneficial ownership” and “owns beneficially” shall have the meanings assigned to such terms under Rule 13d-3 of the Securities Exchange Act of 1934, and the rules and regulations promulgated thereunder, as amended from time to time, but without duplication of the conversion of any shares of Company Series B Common Stock into Company Series A Common Stock in accordance with the Company Charter or any shares of Company Series B Common Stock into Company Series C Common Stock (or vice versa) in accordance with that certain stipulation and order granted by the court on November 23, 2020 to settle that certain putative class action complaint filed by two purported stockholders of GCI Liberty, Inc. on October 9, 2020 (the “Stipulation and Order”)), or of record, and, with respect to the Merger and the other transactions contemplated by the Merger Agreement, has the power to vote or direct the voting of, certain shares of Company Series A Common Stock, Company Series B Common Stock and Company Preferred Stock listed on Schedule A hereto (all such shares, the “”, and shares of Company Series A Common Stock, shares of Company Series B Common Stock and shares of Company Preferred Stock referred to collectively as, the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