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 Certain terms of this exhibit have been omitted pursuant to Item 601(b)(10)(iv) of Regulation S-K as they are both not material and of the type that the registrant treats as private or confidential. The registrant agrees to supplementally furnish an unredacted copy of this exhibit to the SEC upon its request; however, the registrant may request confidential treatment of such unredacted copy.</w:t>
        <w:br/>
        <w:t xml:space="preserve">  VOTING AGREEMENT</w:t>
        <w:br/>
        <w:t xml:space="preserve">  This VOTING AGREEMENT (this “Agreement”), dated as of June 21, 2024, is by and among (i) ANI Pharmaceuticals, Inc., a Delaware corporation (“Parent”), (ii) Alimera Sciences, Inc., a Delaware corporation (the “Company”), and (iii) the stockholders of the Company listed on Schedule A hereto in their capacity as record or beneficial owners of Common Shares (as defined below) (each, a “Stockholder” and, collectively, the “Stockholders”). Each of Parent, the Company and the Stockholders are sometimes referred to as a “Party” and collectively as the “Parties.”</w:t>
        <w:br/>
        <w:t xml:space="preserve">  RECITALS</w:t>
        <w:br/>
        <w:t xml:space="preserve">  A.           Concurrently with the execution and delivery of this Agreement, Parent, the Company and ANIP Merger Sub INC., a Delaware corporation and a wholly owned indirect subsidiary of Parent (“Merger Sub”), are entering into an Agreement and Plan of Merger (as it may be amended, supplemented or otherwise modified from time to time, the “Merger Agreement”) that, among other things and subject to the terms and conditions set forth therein, provides for the merger of Merger Sub with and into the Company, with the Company being the surviving corporation (the “Merger”);</w:t>
        <w:br/>
        <w:t xml:space="preserve">  B.            As of the date hereof, each Stockholder is the record and/or “beneficial owner” (within the meaning of Rule 13d-3 under the Exchange Act) of the number of shares of common stock, $0.01 par value per share, of the Company (the “Common Shares”) set forth next to such Stockholder’s name on Schedule A hereto, being all of the Common Shares owned of record or beneficially by such Stockholder as of the date hereof (with respect to such Stockholder, the “Owned Shares”, and the Owned Shares together with any additional Common Shares or other equity interests of the Company that such Stockholder may own as of the date hereof or acquire record and/or beneficial ownership of after the date hereof (including pursuant to a stock split, reverse stock split, stock dividend or distribution or any change in Common Shares by reason of any recapitalization, reorganization, combination, reclassification, exchange of shares or similar transaction), such Stockholder’s “”);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