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VOTING AGREEMENT</w:t>
        <w:br/>
        <w:t>This VOTING AGREEMENT (this “Agreement”), dated as of June 26, 2024, is entered into by and between the undersigned stockholder (“Stockholder”) of GRIID Infrastructure Inc., a Delaware corporation (the “Company”), and CleanSpark, Inc., a Nevada corporation (“Parent”). Parent and Stockholder are each sometimes referred to herein individually as a “Party” and collectively as the “Parties.”</w:t>
        <w:br/>
        <w:t xml:space="preserve">  WHEREAS, concurrently with or following the execution of this Agreement, the Company, Parent, and Tron Merger Sub, Inc., a Delaware corporation and wholly owned subsidiary of Parent (“Merger Sub”), have entered, or will enter, into an Agreement and Plan of Merger (as the same may be amended from time to time, the “Merger Agreement”), providing for, among other things, the merger (the “Merger”) of Merger Sub and the Company pursuant to the terms and conditions of the Merger Agreement;</w:t>
        <w:br/>
        <w:t xml:space="preserve">  WHEREAS, in order to induce Parent to enter into the Merger Agreement, Stockholder is willing to make certain representations, warranties, covenants, and agreements as set forth in this Agreement with respect to the shares of common stock, par value $0.0001 per share, of the Company (“Company Common Stock”) Beneficially Owned (as defined below) by Stockholder and set forth below Stockholder’s signature on the signature page hereto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