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4.07</w:t>
        <w:br/>
        <w:t xml:space="preserve"> THIS WARRANT HAS NOT BEEN REGISTERED UNDER THE SECURITIES ACT OF 1933, AS AMENDED OR ANY STATE SECURITIES LAWS. NO SALE OR DISPOSITION MAY BE EFFECTED WITHOUT (i) EFFECTIVE REGISTRATION STATEMENTS RELATED THERETO,</w:t>
        <w:br/>
        <w:t>(ii) AN OPINION OF COUNSEL OR OTHER EVIDENCE, REASONABLY SATISFACTORY TO THE COMPANY, THAT SUCH REGISTRATIONS ARE NOT REQUIRED, (iii) RECEIPT OF NO- ACTION LETTERS FROM THE APPROPRIATE GOVERNMENTAL AUTHORITIES, OR</w:t>
        <w:br/>
        <w:t>(iv)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 xml:space="preserve">CERIBELL, INC. </w:t>
        <w:br/>
        <w:t>WARRANT TO PURCHASE SHARES</w:t>
        <w:br/>
        <w:t>OF SERIES PREFERRED STOCK</w:t>
        <w:br/>
        <w:t>(Loan E)</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as applicable: (i) (a) if the Company satisfies the Equity Raise Milestone (as defined below), the Company’s Series B Preferred Stock, and any stock into or for which such Series B Preferred Stock may hereafter be converted or exchanged, and after the conversion of the Series B Preferred Stock to shares of the Company’s common stock (the “Common Stock”), shall mean the Company’s Common Stock; or (b) if the Company fails to satisfy the Equity Raise Milestone, then the term “Series Preferred” shall mean, at the holder’s election, (1) Series B Preferred Stock, and any stock into or for which such Series B Preferred Stock may hereafter be converted or exchanged, and after the conversion of the Series B Preferred Stock to Common Stock, shall mean the Company’s Common Stock, (2) Next Round Preferred Stock (as defined below), and any stock into or for which such Next Round Preferred Stock may hereafter be converted or exchanged, and after the conversion of the Next Round Preferred Stock to shares of Common Stock, shall mean the Company’s Common Stock, or (3) shares of capital stock of the Company (such stock, the “Bridge Round Stock”) into which any note (each, a “Note” and collectively, the “Notes”) issued by the Company, during the period commencing on the Date of Grant (as defined below) and continuing through the date on which the Company </w:t>
        <w:br/>
        <w:t xml:space="preserve">   consummates the first Qualified Financing (as defined below) following the Date of Grant, is converted (such conversion, a “Note Conversion”), and after the conversion of all then-outstanding shares of the Bridge Round Stock into Common Stock, shall mean the Common Stock; (b) the term “Date of Grant” shall mean May 1, 2020;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and (d) the term “Equity Raise Milestone” shall mean the Company providing the holder with evidence reasonably satisfactory to the holder that, on or prior to the date that is ninety (90) days after the Date of Grant, the Company has received cash proceeds of not less than Eight Million Dollars ($8,000,000) from the sale of the Company’s Series B Preferred Stock. The term “Warrant” as used herein shall be deemed to include Other Warrants unless the context clearly requires otherwise. Notwithstanding anything to the contrary contained herein, if the holder elects to exercise this Warrant for Next Round Preferred Stock, then the holder shall make such election on or prior to the date that is five (5) days prior to the closing of the Qualified Financing (as defined below) in which such Next Round Preferred Stock is sold.</w:t>
        <w:br/>
        <w:t>Subject to adjustment pursuant to Section 4 below, the Warrant Price shall be, as applicable:</w:t>
        <w:br/>
        <w:t>(i) if this Warrant is exercised for Series B Preferred Stock, $2.9782, (ii) if this Warrant is exercised for Next Round Preferred Stock, the lowest effective price per share (on a common stock equivalent basis and taking into account any securities issued together with the preferred stock) at which shares of the Company’s convertible preferred stock are sold in a Qualified Financing (such shares, the “Next Round Preferred Stock”); or (iii) if this Warrant is exercised for Bridge Round Stock, the lowest price per share at which a Note is converted into shares of Bridge Round Stock. A “Qualified Financing” shall mean the sale of the convertible preferred stock of the Company to purchasers which include, without limitation, venture capital investors, which results in the Company receiving cash proceeds in an amount not less than Ten Million Dollars ($10,000,000). The number of shares for which this Warrant is exercisable shall be the nearest whole number determined by dividing $25,000 (the “Warrant Coverage Dollar Amount”) by the Warrant Price determined pursuant to this paragraph. Notwithstanding anything to the contrary contained herein, if prior to a Note Conversion, any Note is repaid by the Company in cash, then the holder of this Warrant shall be entitled to receive cash in an amount equal to (a) the amount to which it would have been entitled if it had been the holder of a Note in the principal amount equal to the Warrant Coverage Dollar Amount, less (b) the Warrant Coverage Dollar Amount.</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w:t>
        <w:br/>
        <w:t>-2-</w:t>
        <w:br/>
        <w:t xml:space="preserv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w:t>
        <w:br/>
        <w:t>-3-</w:t>
        <w:br/>
        <w:t xml:space="preserve">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w:t>
        <w:br/>
        <w:t>-4-</w:t>
        <w:br/>
        <w:t xml:space="preserve">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-5-</w:t>
        <w:br/>
        <w:t xml:space="preserve"> 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-6-</w:t>
        <w:br/>
        <w:t xml:space="preserve"> (2)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(a)</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(b)</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w:t>
        <w:br/>
        <w:t>-7-</w:t>
        <w:br/>
        <w:t xml:space="preserv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September 21, 2018 (the “Rights Agreement”) and that certain Xxxxxxx and Restated Voting Agreement dated as of September 21, 2018,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-8-</w:t>
        <w:br/>
        <w:t xml:space="preserve"> 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w:t>
        <w:br/>
        <w:t>-9-</w:t>
        <w:br/>
        <w:t xml:space="preserv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w:t>
        <w:br/>
        <w:t>-10-</w:t>
        <w:br/>
        <w:t xml:space="preserve">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44,911,437 shares.</w:t>
        <w:br/>
        <w:t>-11-</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w:t>
        <w:br/>
        <w:t>-12-</w:t>
        <w:br/>
        <w:t xml:space="preserve">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Xxxxxxxx Xxxx </w:t>
        <w:br/>
        <w:t xml:space="preserve">     </w:t>
        <w:br/>
        <w:t xml:space="preserve">       </w:t>
        <w:br/>
        <w:t xml:space="preserve">       </w:t>
        <w:br/>
        <w:t xml:space="preserve">     </w:t>
        <w:br/>
        <w:t xml:space="preserve">     Name:</w:t>
        <w:br/>
        <w:t xml:space="preserve">     Xxxxxxxx Xxxx </w:t>
        <w:br/>
        <w:t xml:space="preserve">     </w:t>
        <w:br/>
        <w:t xml:space="preserve">       </w:t>
        <w:br/>
        <w:t xml:space="preserve">       </w:t>
        <w:br/>
        <w:t xml:space="preserve">     </w:t>
        <w:br/>
        <w:t xml:space="preserve">     Title:</w:t>
        <w:br/>
        <w:t xml:space="preserve">     President</w:t>
        <w:br/>
        <w:t xml:space="preserve">       </w:t>
        <w:br/>
        <w:t xml:space="preserve">     Address:</w:t>
        <w:br/>
        <w:t xml:space="preserve">       </w:t>
        <w:br/>
        <w:t xml:space="preserve">     0000 Xxx Xxxxxxxxxxx Xxx, Xxxxx 000</w:t>
        <w:br/>
        <w:t>Xxxxxxxx Xxxx, XX 00000</w:t>
        <w:br/>
        <w:t xml:space="preserve">       [SIGNATURE PAGE TO WARRANT (XXXXX))</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(Date)</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w:t>
        <w:br/>
        <w:t xml:space="preserve">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(Signature)</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