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4.22</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C-1 PREFERRED STOCK</w:t>
        <w:br/>
        <w:t>(Loan J Commitment)</w:t>
        <w:br/>
        <w:t>THIS CERTIFIES THAT, for value received, HORIZON TECHNOLOGY FINANCE CORPORATION (“Horizon”) and its permitted successors and permitted assignees are entitled to subscribe for and purchase 2,740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February 6, 2024;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w:t>
        <w:br/>
        <w:t>1.</w:t>
        <w:br/>
        <w:t xml:space="preserve"> Term.  The purchase right represented by this Warrant is exercisable, in whole or in part, at any time and from time to time from the Date of Grant through the date that is ten (10) years after the Date of Grant, subject to earlier termination in accordance with Section 4(a) in the event of an Acquisition (as defined below) in which the sole consideration is cash and/or Marketable Securities (as defined below).</w:t>
        <w:br/>
        <w:t xml:space="preserve">    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-2-</w:t>
        <w:br/>
        <w:t xml:space="preserve">  (a)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and (3) such holder would not be restricted by contract or by applicable federal and state securities laws (other than any restrictions applicable to affiliates under Rule 144, if applicable to the holder)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-3-</w:t>
        <w:br/>
        <w:t xml:space="preserve">  (c)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 </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 </w:t>
        <w:br/>
        <w:t>-4-</w:t>
        <w:br/>
        <w:t xml:space="preserve">  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-5-</w:t>
        <w:br/>
        <w:t xml:space="preserve">  (1)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 xml:space="preserve">The holder understands that this Warrant has not been registered under the Act in reliance upon a specific exemption therefrom, which exemption depends upon, among other things, the bona fide nature of the holder’s investment intent as expressed herein. </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(i) this Warrant or such Shares of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and (ii) this Warrant or such Shares of Common Stock may be transferred to an affiliate of such Holder.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-6-</w:t>
        <w:br/>
        <w:t xml:space="preserve">  (c)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or in which Horizon has an interest, (v) or to a lender to the holder or any of the foregoing; provided, however, in any such transfer, if applicable, the transferee shall on the Company’s request agree in writing to be bound by the terms of this Warrant as if an original holder hereof. </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(d) once per each calendar quarter upon request, the Company’s then current capitalization table, showing all issued and outstanding equity securities of the Company, together with all options or warrants to purchase such equity securities issued by the Company, and (e) the Company’s most recent 409A Valuation.</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10.</w:t>
        <w:br/>
        <w:t xml:space="preserve"> Additional Rights.</w:t>
        <w:br/>
        <w:t>10.1 Notice of Certain Events.  If the Company proposes at any time to:</w:t>
        <w:br/>
        <w:t>(a)</w:t>
        <w:br/>
        <w:t>declare any dividend or distribution upon the outstanding shares of the Shares, whether in cash, stock or other securities or property and whether or not a regular cash dividend;</w:t>
        <w:br/>
        <w:t>-7-</w:t>
        <w:br/>
        <w:t xml:space="preserve">  (b)</w:t>
        <w:br/>
        <w:t>offer for subscription or sale pro rata to all holders of the outstanding shares of the Shares any additional securities of the Company (other than pursuant to contractual pre-emptive or first refusal rights);</w:t>
        <w:br/>
        <w:t>(c)</w:t>
        <w:br/>
        <w:t xml:space="preserve">effect any redemption, reclassification, exchange, combination, substitution, reorganization or recapitalization of the outstanding shares of the Shares; </w:t>
        <w:br/>
        <w:t>(d)</w:t>
        <w:br/>
        <w:t>effect any of the following transactions: (i) the sale, lease, exchange, conveyance or other disposition of all or substantially all of the Company’s property or business,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 or (iii) the liquidation, dissolution or winding up of the Company; or</w:t>
        <w:br/>
        <w:t>(e)</w:t>
        <w:br/>
        <w:t>effect its IPO.</w:t>
        <w:br/>
        <w:t>then, in connection with each such event, the Company shall give Horizon:</w:t>
        <w:br/>
        <w:t>(1)</w:t>
        <w:br/>
        <w:t>in the case of the matters referred to in (a) and (b) above, at least five (5) Business Days prior written notice of the earlier to occur of the effective date thereof or the date on which a record will be taken for such dividend, distribution, or subscription rights (and specifying the date on which the holders of outstanding shares of the Shares will be entitled thereto) or for determining rights to vote, if any;</w:t>
        <w:br/>
        <w:t>(2)</w:t>
        <w:br/>
        <w:t>in the case of the matters referred to in (c) and (d) above, at least five (5) Business Days prior written notice of the date when the same will take place (and specifying the date on which the holders of outstanding shares of the Shares will be entitled to exchange their shares for the securities or other property deliverable upon the occurrence of such event and such reasonable information as Horizon may reasonably require regarding the treatment of this Warrant in connection with such event giving rise to the notice); and</w:t>
        <w:br/>
        <w:t>(3)</w:t>
        <w:br/>
        <w:t>with respect to the IPO, the Company shall make a good faith effort to deliver written notice at least seven (7) Business Days prior to the date on which the Company proposes to make the first public filing of its registration statement in connection therewith; provided, that the Company shall not be required to provide prior written notice if such notice would conflict with the Company’s business interests.</w:t>
        <w:br/>
        <w:t>-8-</w:t>
        <w:br/>
        <w:t xml:space="preserve">  10.2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X =</w:t>
        <w:br/>
        <w:t xml:space="preserve">    B - A</w:t>
        <w:br/>
        <w:t xml:space="preserve">    </w:t>
        <w:br/>
        <w:t xml:space="preserve">      </w:t>
        <w:br/>
        <w:t xml:space="preserve">    Y</w:t>
        <w:br/>
        <w:t xml:space="preserve">    </w:t>
        <w:br/>
        <w:t xml:space="preserve">      </w:t>
        <w:br/>
        <w:t xml:space="preserve">      </w:t>
        <w:br/>
        <w:t xml:space="preserve">      </w:t>
        <w:br/>
        <w:t xml:space="preserve">    Where:</w:t>
        <w:br/>
        <w:t xml:space="preserve">    X =</w:t>
        <w:br/>
        <w:t xml:space="preserve">    the number of Shares that shall be issued to holder</w:t>
        <w:br/>
        <w:t xml:space="preserve">    </w:t>
        <w:br/>
        <w:t xml:space="preserve">      </w:t>
        <w:br/>
        <w:t xml:space="preserve">      </w:t>
        <w:br/>
        <w:t xml:space="preserve">      </w:t>
        <w:br/>
        <w:t xml:space="preserve">    </w:t>
        <w:br/>
        <w:t xml:space="preserve">      </w:t>
        <w:br/>
        <w:t xml:space="preserve">    Y =</w:t>
        <w:br/>
        <w:t xml:space="preserve">    the fair market value of one Share</w:t>
        <w:br/>
        <w:t xml:space="preserve">    </w:t>
        <w:br/>
        <w:t xml:space="preserve">      </w:t>
        <w:br/>
        <w:t xml:space="preserve">      </w:t>
        <w:br/>
        <w:t xml:space="preserve">      </w:t>
        <w:br/>
        <w:t xml:space="preserve">    </w:t>
        <w:br/>
        <w:t xml:space="preserve">      </w:t>
        <w:br/>
        <w:t xml:space="preserve">    A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B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w:t>
        <w:br/>
        <w:t>-9-</w:t>
        <w:br/>
        <w:t xml:space="preserve">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w:t>
        <w:br/>
        <w:t xml:space="preserve">  10.3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-11-</w:t>
        <w:br/>
        <w:t xml:space="preserve">  (f)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73,140,601 shares.</w:t>
        <w:br/>
        <w:t>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 </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-12-</w:t>
        <w:br/>
        <w:t xml:space="preserve">  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-13-</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w:t>
        <w:br/>
        <w:t xml:space="preserve">    </w:t>
        <w:br/>
        <w:t xml:space="preserve">    By:</w:t>
        <w:br/>
        <w:t xml:space="preserve">    /s/ Xxxxx Xxxxxxxx</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w:t>
        <w:br/>
        <w:t xml:space="preserve">    Title:</w:t>
        <w:br/>
        <w:t xml:space="preserve">    Chief Financial Officer</w:t>
        <w:br/>
        <w:t xml:space="preserve">    </w:t>
        <w:br/>
        <w:t xml:space="preserve">      </w:t>
        <w:br/>
        <w:t xml:space="preserve">      </w:t>
        <w:br/>
        <w:t xml:space="preserve">    </w:t>
        <w:br/>
        <w:t xml:space="preserve">    Address:</w:t>
        <w:br/>
        <w:t xml:space="preserve">    0000 Xxx Xxxxxxxxxxx Xxx, Xxxxx 000</w:t>
        <w:br/>
        <w:t>Xxxxxxxx Xxxx, XX 00000</w:t>
        <w:br/>
        <w:t xml:space="preserve">        [SIGNATURE PAGE TO WARRANT (LOAN J COMMITMENT)]</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________ shares of [Series Preferred Stock] [Common Stock] of the Company pursuant to the terms of the attached Warrant, and tenders herewith payment of the purchase price of such shares in full, or</w:t>
        <w:br/>
        <w:t xml:space="preserve">    </w:t>
        <w:br/>
        <w:t xml:space="preserve">    ﻿ </w:t>
        <w:br/>
        <w:t xml:space="preserve">    ﻿ </w:t>
        <w:br/>
        <w:t xml:space="preserve">    ﻿ </w:t>
        <w:br/>
        <w:t xml:space="preserve">    </w:t>
        <w:br/>
        <w:t xml:space="preserve">    ☐</w:t>
        <w:br/>
        <w:t xml:space="preserve">      </w:t>
        <w:br/>
        <w:t xml:space="preserve">    elects to exercise its net issuance rights pursuant to Section 10.2 of the attached Warrant with respect to ________ Shares of [Series Preferred Stock] [Common Stock].</w:t>
        <w:br/>
        <w:t xml:space="preserve">      2.</w:t>
        <w:br/>
        <w:t>Please issue a certificate or certificates representing ________ shares in the name of the undersigned or in such other name or names as are specified below:</w:t>
        <w:br/>
        <w:t xml:space="preserve">    (Name)</w:t>
        <w:br/>
        <w:t xml:space="preserve">      (Address)</w:t>
        <w:br/>
        <w:t>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w:t>
        <w:br/>
        <w:t xml:space="preserve">    </w:t>
        <w:br/>
        <w:t xml:space="preserve">      </w:t>
        <w:br/>
        <w:t xml:space="preserve">      </w:t>
        <w:br/>
        <w:t xml:space="preserve">    (Signature)</w:t>
        <w:br/>
        <w:t xml:space="preserve">    </w:t>
        <w:br/>
        <w:t xml:space="preserve">    (Date)</w:t>
        <w:br/>
        <w:t xml:space="preserve">      </w:t>
        <w:br/>
        <w:t xml:space="preserve">      </w:t>
        <w:br/>
        <w:t xml:space="preserve">          EXHIBIT A-2</w:t>
        <w:br/>
        <w:t>NOTICE OF EXERCISE</w:t>
        <w:br/>
        <w:t xml:space="preserve">  </w:t>
        <w:br/>
        <w:t xml:space="preserve">    To:</w:t>
        <w:br/>
        <w:t xml:space="preserve">    CERIBELL, INC. (the “Company”)</w:t>
        <w:br/>
        <w:t xml:space="preserve">      1.</w:t>
        <w:br/>
        <w:t>Contingent upon and effective immediately prior to the closing (the “Closing”) of the Company’s public offering contemplated by the Registration Statement on Form S___, filed ________, 20__, the undersigned hereby:</w:t>
        <w:br/>
        <w:t>☐      elects to purchase ________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________ Shares of [Series Preferred Stock] [Common Stock].</w:t>
        <w:br/>
        <w:t>2.</w:t>
        <w:br/>
        <w:t>Please deliver to the custodian for the selling shareholders a stock certificate representing such ________ shares.</w:t>
        <w:br/>
        <w:t>3.</w:t>
        <w:br/>
        <w:t>The undersigned has instructed the custodian for the selling shareholders to deliver to the Company $ ________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w:t>
        <w:br/>
        <w:t xml:space="preserve">    </w:t>
        <w:br/>
        <w:t xml:space="preserve">      </w:t>
        <w:br/>
        <w:t xml:space="preserve">      </w:t>
        <w:br/>
        <w:t xml:space="preserve">    (Signature)</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