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4.08</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PREFERRED STOCK</w:t>
        <w:br/>
        <w:t>(Loan F)</w:t>
        <w:br/>
        <w:t xml:space="preserve">THIS CERTIFIES THAT, for value received, HORIZON TECHNOLOGY FINANCE CORPORATION (“Horizon”) and its permitted successors and permitted assignees are entitled to subscribe for and purchase that number of the fully paid and nonassessable shares of Series Preferred (as adjusted pursuant to Section 4 hereof, the “Shares”) of CERIBELL, INC., a Delaware corporation (the “Company”), as is determined pursuant to the next paragraph hereof, at the price per share as is determined pursuant to the next paragraph hereof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as applicable: (i) (a) if the Company satisfies the Equity Raise Milestone (as defined below), the Company’s Series B Preferred Stock, and any stock into or for which such Series B Preferred Stock may hereafter be converted or exchanged, and after the conversion of the Series B Preferred Stock to shares of the Company’s common stock (the “Common Stock”), shall mean the Company’s Common Stock; or (b) if the Company fails to satisfy the Equity Raise Milestone, then the term “Series Preferred” shall mean, at the holder’s election, (1) Series B Preferred Stock, and any stock into or for which such Series B Preferred Stock may hereafter be converted or exchanged, and after the conversion of the Series B Preferred Stock to Common Stock, shall mean the Company’s Common Stock, (2) Next Round Preferred Stock (as defined below), and any stock into or for which such Next Round Preferred Stock may hereafter be converted or exchanged, and after the conversion of the Next Round Preferred Stock to shares of Common Stock, shall mean the Company’s Common Stock, or (3) shares of capital stock of the Company (such stock, the “Bridge Round Stock”) into which any note (each, a “Note” and collectively, the “Notes”) issued by the Company, during the period commencing on the Date of Grant (as defined below) and continuing through the date on which the Company consummates the first Qualified Financing (as defined below) following the Date of Grant, is converted (such conversion, a “Note Conversion”), and after the conversion of all then-outstanding shares of the Bridge Round Stock into Common Stock, shall mean the Common Stock; (b) the term “Date of Grant” </w:t>
        <w:br/>
        <w:t xml:space="preserve">    shall mean May 1, 2020;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and (d) the term “Equity Raise Milestone” shall mean the Company providing the holder with evidence reasonably satisfactory to the holder that, on or prior to the date that is ninety (90) days after the Date of Grant, the Company has received cash proceeds of not less than Eight Million Dollars ($8,000,000) from the sale of the Company’s Series B Preferred Stock. The term “Warrant” as used herein shall be deemed to include Other Warrants unless the context clearly requires otherwise. Notwithstanding anything to the contrary contained herein, if the holder elects to exercise this Warrant for Next Round Preferred Stock, then the holder shall make such election on or prior to the date that is five (5) days prior to the closing of the Qualified Financing (as defined below) in which such Next Round Preferred Stock is sold.</w:t>
        <w:br/>
        <w:t>Subject to adjustment pursuant to Section 4 below, the Warrant Price shall be, as applicable: (i) if this Warrant is exercised for Series B Preferred Stock, $2.9782, (ii) if this Warrant is exercised for Next Round Preferred Stock, the lowest effective price per share (on a common stock equivalent basis and taking into account any securities issued together with the preferred stock) at which shares of the Company’s convertible preferred stock are sold in a Qualified Financing (such shares, the “Next Round Preferred Stock”); or (iii) if this Warrant is exercised for Bridge Round Stock, the lowest price per share at which a Note is converted into shares of Bridge Round Stock. A “Qualified Financing” shall mean the sale of the convertible preferred stock of the Company to purchasers which include, without limitation, venture capital investors, which results in the Company receiving cash proceeds in an amount not less than Ten Million Dollars ($10,000,000). The number of shares for which this Warrant is exercisable shall be the nearest whole number determined by dividing $25,000 (the “Warrant Coverage Dollar Amount”) by the Warrant Price determined pursuant to this paragraph. Notwithstanding anything to the contrary contained herein, if prior to a Note Conversion, any Note is repaid by the Company in cash, then the holder of this Warrant shall be entitled to receive cash in an amount equal to (a) the amount to which it would have been entitled if it had been the holder of a Note in the principal amount equal to the Warrant Coverage Dollar Amount, less (b) the Warrant Coverage Dollar Amount.</w:t>
        <w:br/>
        <w:t>1.</w:t>
        <w:br/>
        <w:t>Term. The purchase right represented by this Warrant is exercisable, in whole or in part, at any time and from time to time from the Date of Grant through the date that is ten (10) years after the Date of Grant.</w:t>
        <w:br/>
        <w:t>2.</w:t>
        <w:br/>
        <w:t xml:space="preserve">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w:t>
        <w:br/>
        <w:t xml:space="preserve"> -2-</w:t>
        <w:br/>
        <w:t xml:space="preserv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w:t>
        <w:br/>
        <w:t xml:space="preserve"> -3-</w:t>
        <w:br/>
        <w:t xml:space="preserve">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w:t>
        <w:br/>
        <w:t xml:space="preserve"> -4-</w:t>
        <w:br/>
        <w:t xml:space="preserve">  the holder of the Shares (or Common Stock issuable upon conversion thereof) as of the record date fixed for the determination of the shareholders of the Company entitled to receive such dividend or distribution.</w:t>
        <w:br/>
        <w:t>(d)</w:t>
        <w:br/>
        <w:t>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Compliance with Act; Disposition of Warrant or Shares of Series Preferred.</w:t>
        <w:br/>
        <w:t>(a)</w:t>
        <w:br/>
        <w:t xml:space="preserve">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w:t>
        <w:br/>
        <w:t xml:space="preserve"> -5-</w:t>
        <w:br/>
        <w:t xml:space="preserve">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 xml:space="preserve"> -6-</w:t>
        <w:br/>
        <w:t xml:space="preserve">  (4)</w:t>
        <w:br/>
        <w:t>The holder is an “accredited investor” as such term is defined in Rule 501 of Regulation D promulgated under the Act.</w:t>
        <w:br/>
        <w:t>(b)</w:t>
        <w:br/>
        <w:t>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w:t>
        <w:br/>
        <w:t xml:space="preserve"> -7-</w:t>
        <w:br/>
        <w:t xml:space="preserve">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Holder’s Obligation to Execute Investors’ Rights Agreement and Voting Agreement. As to any Shares the holder receives upon any exercise or conversion of this Warrant, such holder agrees to be bound by that certain Xxxxxxx and Restated Investors’ Rights Agreement dated September 21, 2018 (the “Rights Agreement”) and that certain Xxxxxxx and Restated Voting Agreement dated as of September 21, 2018, each by and among the Company and certain of the Company’s stockholders (in each case as amended from time to time). The holder explicitly agrees that the Shares shall be subject to the Market Stand-off provisions in Section 2.10 of the Rights Agreement.</w:t>
        <w:br/>
        <w:t>10.</w:t>
        <w:br/>
        <w:t>Additional Rights.</w:t>
        <w:br/>
        <w:t>10.1</w:t>
        <w:br/>
        <w:t>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w:t>
        <w:br/>
        <w:t>Right to Convert Warrant into Stock; Net Issuance.</w:t>
        <w:br/>
        <w:t>(a)</w:t>
        <w:br/>
        <w:t>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-8-</w:t>
        <w:br/>
        <w:t xml:space="preserve">  </w:t>
        <w:br/>
        <w:t xml:space="preserve">    X =</w:t>
        <w:br/>
        <w:t xml:space="preserve">    B - A</w:t>
        <w:br/>
        <w:t xml:space="preserve">    </w:t>
        <w:br/>
        <w:t xml:space="preserve">      </w:t>
        <w:br/>
        <w:t xml:space="preserve">    Y</w:t>
        <w:br/>
        <w:t xml:space="preserve">      </w:t>
        <w:br/>
        <w:t xml:space="preserve">    Where: X =</w:t>
        <w:br/>
        <w:t xml:space="preserve">      </w:t>
        <w:br/>
        <w:t xml:space="preserve">    the number of Shares that shall be issued to holder</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Determination of Fair Market Value. For purposes of this Section 10.2, “fair market value” of a Share (or Common Stock if the Shares have been converted into Common Stock) as of a particular date (the “Determination Date”) shall mean:</w:t>
        <w:br/>
        <w:t>(i)</w:t>
        <w:br/>
        <w:t xml:space="preserve">If the Conversion Right is exercised in connection with and contingent upon a Public Offering, and if the Company’s Registration Statement relating to such Public Offering </w:t>
        <w:br/>
        <w:t xml:space="preserve"> -9-</w:t>
        <w:br/>
        <w:t xml:space="preserve">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Representations and Warranties. The Company represents and warrants to the holder of this Warrant as follows:</w:t>
        <w:br/>
        <w:t>(a)</w:t>
        <w:br/>
        <w:t xml:space="preserve">This Warrant has been duly authorized and executed by the Company and is a valid and binding obligation of the Company enforceable in accordance with its terms, subject to laws </w:t>
        <w:br/>
        <w:t xml:space="preserve"> -10-</w:t>
        <w:br/>
        <w:t xml:space="preserve">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44,911,437 shares.</w:t>
        <w:br/>
        <w:t>12.</w:t>
        <w:br/>
        <w:t>Modification and Waiver. This Warrant and any provision hereof may be changed, waived, discharged or terminated only by an instrument in writing signed by the party against which enforcement of the same is sought.</w:t>
        <w:br/>
        <w:t>13.</w:t>
        <w:br/>
        <w:t>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Binding Effect on Successors. This Warrant shall be binding upon any entity succeeding the Company by merger, consolidation or acquisition of all or substantially all of the Company’s assets, </w:t>
        <w:br/>
        <w:t xml:space="preserve"> -11-</w:t>
        <w:br/>
        <w:t xml:space="preserve">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Governing Law. This Warrant shall be construed and enforced in accordance with, and the rights of the parties shall be governed by, the laws of the State of Delaware.</w:t>
        <w:br/>
        <w:t>18.</w:t>
        <w:br/>
        <w:t>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w:t>
        <w:br/>
        <w:t xml:space="preserve"> -12-</w:t>
        <w:br/>
        <w:t xml:space="preserve">  be entitled to recover reasonable attorneys’ fees and other costs incurred in that action or proceeding, in addition to any other relief to which it or they may be entitled.</w:t>
        <w:br/>
        <w:t>23.</w:t>
        <w:br/>
        <w:t>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 xml:space="preserve"> -13-</w:t>
        <w:br/>
        <w:t xml:space="preserve">  The Company has caused this Warrant to be duly executed and delivered as of the Date of Grant specified above.</w:t>
        <w:br/>
        <w:t xml:space="preserve">  </w:t>
        <w:br/>
        <w:t xml:space="preserve">    By:</w:t>
        <w:br/>
        <w:t xml:space="preserve">    /s/ Xxxxxxxx Xxxx</w:t>
        <w:br/>
        <w:t xml:space="preserve">    </w:t>
        <w:br/>
        <w:t xml:space="preserve">      </w:t>
        <w:br/>
        <w:t xml:space="preserve">      </w:t>
        <w:br/>
        <w:t xml:space="preserve">    </w:t>
        <w:br/>
        <w:t xml:space="preserve">    Name:</w:t>
        <w:br/>
        <w:t xml:space="preserve">    Xxxxxxxx Xxxx</w:t>
        <w:br/>
        <w:t xml:space="preserve">    </w:t>
        <w:br/>
        <w:t xml:space="preserve">      </w:t>
        <w:br/>
        <w:t xml:space="preserve">      </w:t>
        <w:br/>
        <w:t xml:space="preserve">    </w:t>
        <w:br/>
        <w:t xml:space="preserve">    Title:</w:t>
        <w:br/>
        <w:t xml:space="preserve">    President</w:t>
        <w:br/>
        <w:t xml:space="preserve">      </w:t>
        <w:br/>
        <w:t xml:space="preserve">    Address:</w:t>
        <w:br/>
        <w:t xml:space="preserve">    0000 Xxx Xxxxxxxxxxx Xxx, Xxxxx 000</w:t>
        <w:br/>
        <w:t>Xxxxxxxx Xxxx, XX 00000</w:t>
        <w:br/>
        <w:t xml:space="preserve">       [SIGNATURE PAGE TO WARRANT (LOAN F)]</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