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10</w:t>
        <w:br/>
        <w:t xml:space="preserve">Original Issue Date: October 1, 2024 </w:t>
        <w:br/>
        <w:t>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66,322,033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 xml:space="preserve">    “Capital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(i) Amendment, dated as of April 11, 2023, (ii) Amendment No. 2, dated as of November 13, 2023, and (iii) Amendment No. 3, dated as of March 26, 2024.</w:t>
        <w:br/>
        <w:t xml:space="preserve">  “Notice of Exercise” has the meaning set forth in Section 3(a).</w:t>
        <w:br/>
        <w:t xml:space="preserve">       “Original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w:t>
        <w:br/>
        <w:t xml:space="preserve">  “Transaction” has the meaning set forth in Section 4(c)(ii).</w:t>
        <w:br/>
        <w:t xml:space="preserve">  “Transfer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Warrant, the maximum number of Warrant Shares issuable upon the exercise of this Warrant, and </w:t>
        <w:br/>
        <w:t xml:space="preserve">     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(ii)</w:t>
        <w:br/>
        <w:t xml:space="preserve">Changes in Common Stock. In case of any reclassification or reorganization of the outstanding shares of Common Stock (other than a change under subsection </w:t>
        <w:br/>
        <w:t xml:space="preserve">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 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w:t>
        <w:br/>
        <w:t xml:space="preserve">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 Dilutive Issuance by (2) the Fair Market Value of the shares of Common Stock immediately prior to such Dilutive Issuance;</w:t>
        <w:br/>
        <w:t xml:space="preserve">  (B)</w:t>
        <w:br/>
        <w:t xml:space="preserve">the number of Warrant Shares issuable upon the exercise of this Warrant shall be adjusted to a number equal to the quotient obtained by dividing: (i) the product of (A) the Strike Price in effect </w:t>
        <w:br/>
        <w:t xml:space="preserve">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 xml:space="preserve">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 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w:t>
        <w:br/>
        <w:t xml:space="preserve">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7.</w:t>
        <w:br/>
        <w:t>Replacement on Loss; Division and Combination.</w:t>
        <w:br/>
        <w:t xml:space="preserve">  (a)</w:t>
        <w:br/>
        <w:t xml:space="preserve">Replacement of Warrant on Loss. Upon receipt of evidence reasonably satisfactory to the Company of the loss, theft, destruction or mutilation of this Warrant and upon delivery of an indemnity reasonably satisfactory to it (it being understood that a written </w:t>
        <w:br/>
        <w:t xml:space="preserve">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 xml:space="preserve">Removal of Restrictive Legend. The Company agrees, upon request of the </w:t>
        <w:br/>
        <w:t xml:space="preserv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0000 XX 00xx Xxxxxx</w:t>
        <w:br/>
        <w:t>Suite 1100</w:t>
        <w:br/>
        <w:t>Miami, FL 33146</w:t>
        <w:br/>
        <w:t>Attention: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20.</w:t>
        <w:br/>
        <w:t xml:space="preserve">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w:t>
        <w:br/>
        <w:t xml:space="preser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Xxxxxx Xxxxxxxxxxx</w:t>
        <w:br/>
        <w:t xml:space="preserve">    </w:t>
        <w:br/>
        <w:t xml:space="preserve">    Title:</w:t>
        <w:br/>
        <w:t xml:space="preserve">    Authorized Representative</w:t>
        <w:br/>
        <w:t xml:space="preserve">           </w:t>
        <w:br/>
        <w:t xml:space="preserve">    ACKNOWLEDGED AND AGREED:</w:t>
        <w:br/>
        <w:t xml:space="preserve">    </w:t>
        <w:br/>
        <w:t xml:space="preserve">    VIRAGE RECOVERY MASTER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br/>
        <w:t xml:space="preserve">           EXHIBIT A NOTICE OF EXERCISE</w:t>
        <w:br/>
        <w:t>To: MSP RECOVERY, INC.</w:t>
        <w:br/>
        <w:t xml:space="preserve">  Reference is made to that certain Class A Common Stock Warrant (the “Warrant”) issued by MSP Recovery, Inc. (the “Company”) on October 1,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(d)</w:t>
        <w:br/>
        <w:t>Transfer Restrictions. The Holder acknowledges and understands that</w:t>
        <w:br/>
        <w:t xml:space="preserve">     (i)</w:t>
        <w:br/>
        <w:t>this Warrant, and the Warrant Shares, are “restricted securities” and may only be transferred pursuant to an exemption, or exclusion, from registration requirements under U.S. federal securities laws, (ii) it may have to bear the economic risk of this investment for an indefinite period of time unless the Warrant Shares are subsequently registered under the Securities Act and applicable state and other securities laws or unless an exemption from such registration is available, and (iii) the legend described in Section 8 of the Warrant may only be removed once the Warrant Shares are no longer “restricted securities”.</w:t>
        <w:br/>
        <w:t xml:space="preserve">  Name of Registered Owner: _______________________________________________________</w:t>
        <w:br/>
        <w:t xml:space="preserve">  Signature of Authorized Signatory of Registered Owner: ________________________________</w:t>
        <w:br/>
        <w:t xml:space="preserve">  Name of Authorized Signatory: ____________________________________________________</w:t>
        <w:br/>
        <w:t xml:space="preserve">  Title of Authorized Signatory: _____________________________________________________</w:t>
        <w:br/>
        <w:t xml:space="preserve">  Date: ______________________________________</w:t>
        <w:br/>
        <w:t xml:space="preserve">                                                                       EXHIBIT B ASSIGNMENT FORM</w:t>
        <w:br/>
        <w:t>(To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_________________________________</w:t>
        <w:br/>
        <w:t xml:space="preserve">    </w:t>
        <w:br/>
        <w:t xml:space="preserve">    Holder’s Signature: ________________________</w:t>
        <w:br/>
        <w:t xml:space="preserv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