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CONSULTING AGREEMENT</w:t>
        <w:br/>
        <w:t xml:space="preserve">  This Consulting Agreement (the “Agreement”) is made and entered into as of this 25th day of August 2020, by and between MJ Holdings, Inc. a Nevada corporation whose address is 0000 Xxxxx Xxxxx Xxxx, Xxxxx 000, Xxx Xxxxx, XX 00000 (the “Company”) and Sylios Corp (the “Consultant”), a Florida corporation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review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August 25, 2020 and shall remain in effect for six (6) months or until the Company’s Annual Report for the period ended December 31, 2019, and Quarterly Reports for the periods ended March 31, 2020, June 30, 2020 and September 30, 2020 are filed with the Securities and Exchange Commission.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Annual Report for the period ended December 31, 2019; and</w:t>
        <w:br/>
        <w:t xml:space="preserve">  1</w:t>
        <w:br/>
        <w:t xml:space="preserve">    (ii) Preparation of the Company’s Quarterly Reports for the periods ended March 31, 2020, June 30, 2020 and September 30, 2020; and</w:t>
        <w:br/>
        <w:t xml:space="preserve">  (iii) Preparation of the Company’s Current Reports; and</w:t>
        <w:br/>
        <w:t xml:space="preserve">  (iv) Work with the Company’s accounting firm/auditor to assist in preparation of the Company’s financial tables and footnotes to be included within the financial reports to be filed with the Securities and Exchange Commission.</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w:t>
        <w:br/>
        <w:t xml:space="preserve">  5. COMPENSATION TO CONSULTANT. As Consultant’s entire compensation for its performance under this agreement, the Company shall pay Consultant $20,000.00 (exclusive of agreed upon extraordinary expenses). The first payment of $10,000.00 shall be paid to Consultant: (i) upon execution of this Agreement, and (ii) the second payment of $10,000.00 upon the filing of the June 30, 2020 Quarterly Report. In addition, the Consultant shall receive 100,000 shares of common stock (the “Shares”) of the Company upon execution of the Agreement. The shares shall be issued as book entry in the name of the Consultant, or its designee (the “Shareholder”), and shall be released to the Shareholder upon the filing of the September 30, 2020 Quarterly Report. The Consultant shall nominate an individual/entity in which name the shares shall be issued. The Company shall agree to include the shares of common stock issued to the Consultant in the next Registration Statement filed by the Company.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2</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3</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4</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5</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w:t>
        <w:br/>
        <w:t xml:space="preserve">    IN WITNESS, WHEREOF, the Parties hereto have caused this Agreement to be duly executed, all as of the day and year first above written.</w:t>
        <w:br/>
        <w:t xml:space="preserve">  COMPANY: CONSULTANT:</w:t>
        <w:br/>
        <w:t xml:space="preserve">    MJ HOLDINGS, INC. SYLIOS CORP</w:t>
        <w:br/>
        <w:t>0000 Xxxxx Xxxxx Xxxx, Xxxxx 000 000 Xxxxx Xxx X, Xxxxx 000</w:t>
        <w:br/>
        <w:t>Xxx Xxxxx, XX 00000 Xx. Xxxxxxxxxx, XX 00000</w:t>
        <w:br/>
        <w:t xml:space="preserve">  By:   By:</w:t>
        <w:br/>
        <w:t xml:space="preserve">      Paris Xxxxxxxxx   Xxxxx Xxxxx Xxxxxxxx</w:t>
        <w:br/>
        <w:t>Its: Chief Executive Officer   Its: President</w:t>
        <w:br/>
        <w:t>Date: August 25, 2020   Dated: August 25, 2020</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