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 xml:space="preserve">  CONSULTING AGREEMENT</w:t>
        <w:br/>
        <w:t xml:space="preserve">  This Consulting Agreement (the “Agreement”) is made and entered into as of this 23rd day of August 2023, by and between Global Technologies, Ltd a Delaware corporation whose address is 0 Xxxxxx Xxxxx, Xxxxx 000, Xxxxxxxxxx, XX 00000 (the “Company”) and Brain Bridge Advisors LLC (the “Consultant”), a Wyoming limited liability company, whose address is 00000 Xxxxxxx Xxxxx, Xxxxx 00, Xxxx Xxxxxxxxx, XX 00000, (individually, a “Party”; collectively, the “Parties”). This Agreement is non-exclusive.</w:t>
        <w:br/>
        <w:t xml:space="preserve">  RECITALS</w:t>
        <w:br/>
        <w:t xml:space="preserve">  WHEREAS, Consultant has significant experience in the preparation of reports to be filed with the Securities and Exchange Commission (“SEC”); including, but not limited to Registration Statements, Quarterly Reports, Annual Reports, Current Reports, Information statements, preparation of consolidated foot notes to the Company’s financial statements, and filings of other accounting and financial reporting forms for regulatory agencies.</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email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August 23, 2023 and shall remain in effect for one (1) year.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Preparation of the Company’s Registration Statements of Forms S-1 and S-8;</w:t>
        <w:br/>
        <w:t>(ii) Preparation of the Company’s Quarterly Reports on Form 10-Q for the periods ended September 30, 2023, December 31, 2023 and March 31, 2024;</w:t>
        <w:br/>
        <w:t xml:space="preserve">  1</w:t>
        <w:br/>
        <w:t xml:space="preserve">    (iii) Preparation of the Company’s Annual Report on Form 10-K for the period ended June 30, 2023;</w:t>
        <w:br/>
        <w:t>(iv) Preparation of the Company’s Current Reports on Form 8-K; and</w:t>
        <w:br/>
        <w:t>(v) Preparation of the Company’s PRE14A and DEF14A.</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 Consultant’s duty is to identify prospective acquisition/joint venture companies for the Company. Consultant will in no way act as a “broker-dealer” under state securities laws. Because all final decisions pertaining to any particular investment are to be made by the Company, the Company may be required to communicate directly with potential acquisition/joint venture prospective companies.</w:t>
        <w:br/>
        <w:t xml:space="preserve">  5. COMPENSATION TO CONSULTANT. As Consultant’s entire compensation for its performance under this Agreement, and upon the execution of this Agreement, the Company shall issue Consultant a total of 50 shares of the Company’s Series L Preferred Stock. Within six months of the date of this Agreement, the Company shall file a Registration Statement to register shares of the Company’s Class A Common Stock to be issued upon conversion of the Series L Preferred Stock.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time-to-time Consultant and the Company may designate certain disclosed information as confidential for purposes of this Agreement.</w:t>
        <w:br/>
        <w:t xml:space="preserve">  2</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(b) Not make any representations other than those authorized by the Company; and</w:t>
        <w:br/>
        <w:t>(c) Not publish, circulate or otherwise use any materials or documents other than materials provided by or otherwise approved by the Company.</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(c) Contracts in Full Force and Effect. All contracts, agreements, plans, policies and licenses to which the Company is a party are valid and in full force and effect.</w:t>
        <w:br/>
        <w:t>(d)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3</w:t>
        <w:br/>
        <w:t xml:space="preserve">    (e) Consultant Reliance. Consultant has and will rely upon the documents, instruments and written information furnished to Consultant by the Company’s officers or designated employees.</w:t>
        <w:br/>
        <w:t>(f)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10. MISCELLANEOUS PROVISIONS</w:t>
        <w:br/>
        <w:t xml:space="preserve">  (a) Amendment and Modification. This Agreement may be amended, modified and supplemented only by written agreement of the Company and Consultant.</w:t>
        <w:br/>
        <w:t>(b)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(c) Expenses, Transfer Taxes, Etc. Other than as expressly set forth in this Agreement, the Parties shall bear their own costs and expenses in carrying out the provisions of this Agreement.</w:t>
        <w:br/>
        <w:t>(d)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(f) Assignment. This Agreement and all of the provisions hereof shall be binding upon and inure to the benefit of the Parties hereto and their respective successors and permitted assigns.</w:t>
        <w:br/>
        <w:t>(g) Delegation. Neither Party shall delegate the performance of its duties under this Agreement without the prior written consent of the other Party.</w:t>
        <w:br/>
        <w:t>(h)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4</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(j) Counterparts. This Agreement may be executed simultaneously in two or more counterparts, each of which shall be deemed an original, but all of which together shall constitute one and the same instrument.</w:t>
        <w:br/>
        <w:t>(k) Headings. The heading of the sections of this Agreement are inserted for convenience only and shall not constitute a part hereto or affect in any way the meaning or interpretation of this Agreement.</w:t>
        <w:br/>
        <w:t>(l)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(o) Survivability. If any part of this Agreement is found or deemed by a court of competent jurisdiction to be invalid or unenforceable, that part shall be severable from the remainder of the Agreement.</w:t>
        <w:br/>
        <w:t>(p) Further Assurances. Each of the Parties agrees that it shall from time-to-time take such actions and execute such additional instruments as may be reasonably necessary or convenient to implement and carry out the intent and purposes of this Agreement.</w:t>
        <w:br/>
        <w:t xml:space="preserve">  5</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6</w:t>
        <w:br/>
        <w:t xml:space="preserve">    IN WITNESS, WHEREOF, the Parties hereto have caused this Agreement to be duly executed, all as of the day and year first above written.</w:t>
        <w:br/>
        <w:t xml:space="preserve">  COMPANY:   CONSULTANT:</w:t>
        <w:br/>
        <w:t xml:space="preserve">        GLOBAL TECHNOLOGIES LTD   BRAIN BRIDGE ADVISORS LLC</w:t>
        <w:br/>
        <w:t>0 Xxxxxx Xx., Xxxxx 000   00000 Xxxxxxx Xx., Xxxxx 00</w:t>
        <w:br/>
        <w:t>Parsippany, NJ 07054   Port Charlotte, FL 33954</w:t>
        <w:br/>
        <w:t xml:space="preserve">        By:     By:</w:t>
        <w:br/>
        <w:t xml:space="preserve">                      Xxxxxxxx Xxxxxxx   Xxxxxxx Xxxxxxx</w:t>
        <w:br/>
        <w:t>Its: Chief Executive Officer   Its: Managing Member</w:t>
        <w:br/>
        <w:t>Date: August 23, 2023   Dated:  August 23, 2023</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