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10.45</w:t>
        <w:br/>
        <w:t xml:space="preserve">  TENTH AMENDMENT TO CREDIT AGREEMENT</w:t>
        <w:br/>
        <w:t xml:space="preserve">  This TENTH AMENDMENT TO CREDIT AGREEMENT (this “Amendment”), is dated as of August 25, 2020,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w:t>
        <w:br/>
        <w:t xml:space="preserve">  W I T N E S S E T H:</w:t>
        <w:br/>
        <w:t xml:space="preserve">  WHEREAS, Borrowers and Lender are parties to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that  certain  Consent   and   Waiver   Agreement   dated   as   of December 20, 2016, that certain Fourth Amendment to Credit Agreement dated as of September 6, 2017, that certain Fifth Amendment to Credit Agreement dated as of October 30, 2017, that certain Sixth Amendment, Consent and Waiver to Credit Agreement dated as of July 18, 2018, that certain Seventh Amendment to Credit Agreement dated as of September 26, 2018, that certain Eighth Amendment and Waiver to Credit Agreement dated as of August 29, 2019 and that certain Ninth Amendment and Waiver to Credit Agreement dated as of June 26, 2020 (as may be further amended, restated, supplemented or otherwise modified from time to time, the “Credit Agreement”); and</w:t>
        <w:br/>
        <w:t xml:space="preserve">  WHEREAS, Borrowers have requested that Lender amend the Credit Agreement as more fully set forth herein, on the terms and conditions set forth herein;</w:t>
        <w:br/>
        <w:t>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t xml:space="preserve">  1.Amendments to Credit Agreement.</w:t>
        <w:br/>
        <w:t xml:space="preserve">  (a)Section 1.1 of the Credit Agreement, Defined Terms, is hereby modified and amended by deleting the definition of “LIBO Rate” and “Revolving Credit Maturity Date” set forth therein in their entirety and inserting in lieu thereof, respectively, the following:</w:t>
        <w:br/>
        <w:t xml:space="preserve">  ““LIBO Rate” means the London interbank offered rate as administered by ICE Benchmark Administration (or any other Person that takes over the administration of such rate) and published in the “Money Rates” section of The Wall Street Journal (or if The Wall Street Journal is not available or does not publish that rate, any other authoritative source  of that rate, selected by Lender from time to time</w:t>
        <w:br/>
        <w:t xml:space="preserve">    for purposes of providing quotations of interest rates applicable to dollar deposits in an amount equal to the Loans in the London interbank market at approximately 11:00 a.m., London time) on the Business Day immediately preceding the date of such determination, as the rate for dollar deposits with a one month maturity; provided, that (a) the LIBO Rate may be Adjusted from time to time in Lender’s discretion for reserve requirements, deposit insurance assessment rates and other regulatory costs, and (b) in no event shall the LIBO Rate be less than zero.</w:t>
        <w:br/>
        <w:t xml:space="preserve">  “Revolving Credit Maturity Date” means November 1, 2023.”</w:t>
        <w:br/>
        <w:t xml:space="preserve">  (b)Section 1.1 of the Credit Agreement, Defined Terms, is hereby further modified and amended by adding the following new defined term thereto in appropriate alphabetical order:</w:t>
        <w:br/>
        <w:t xml:space="preserve">  ““Benchmark Transition Event” means the occurrence of one or more of the following events with respect to the LIBO Rate:</w:t>
        <w:br/>
        <w:t>(a)a public statement or publication of information by or on behalf of the administrator of the LIBO Rate announcing that such administrator has ceased or will cease to provide the LIBO Rate, permanently or indefinitely, provided that, at the time of such statement or publication, there is no successor administrator that will continue to provide the LIBO Rate;</w:t>
        <w:br/>
        <w:t xml:space="preserve">  (b)a public statement or publication of information by the regulatory supervisor for the administrator of the LIBO Rate, the U.S. Federal Reserve System, an insolvency official with jurisdiction over the administrator for the LIBO Rate, a resolution authority with jurisdiction over the administrator for the  LIBO Rate or a court or an entity with similar insolvency or resolution authority over the administrator for the LIBO Rate, which states that the administrator of the LIBO Rate has ceased or will cease to provide the LIBO Rate permanently or indefinitely, provided that, at the time of such statement or publication, there is no successor administrator that will continue to provide the LIBO Rate; or</w:t>
        <w:br/>
        <w:t xml:space="preserve">  (c)a public statement or publication of information by the regulatory supervisor for the administrator of the LIBO Rate announcing that the LIBO Rate is no longer representative.”</w:t>
        <w:br/>
        <w:t xml:space="preserve">    2</w:t>
        <w:br/>
        <w:t xml:space="preserve">  (c)Section 2.11 of the Credit Agreement, Inability to Determine Rates, is hereby modified and amended by deleting such section in its entirety and inserting in lieu thereof the following:</w:t>
        <w:br/>
        <w:t xml:space="preserve">  “2.11 Inability to Determine Rates; Alternative Rate.</w:t>
        <w:br/>
        <w:t xml:space="preserve">  (a)If, in connection with any Loan, no Benchmark Transition Event shall have occurred at such time but Lender determines that (i) United States dollar deposits are not being offered to banks in the London interbank market for the applicable amount of such Loan, (ii) adequate and reasonable means do not exist for determining the applicable LIBO Rate (including, without limitation, because the LIBO Rate is not available or published on a current basis), (iii) any Governmental Authority has made it illegal or imposed material restrictions on the ability of Lender to maintain or fund Loans based upon the LIBO Rate, or (iv) the applicable LIBO Rate does not adequately and fairly reflect the cost to Lender of making or maintaining that Loan, Lender will promptly so notify Administrative Borrower. Thereafter, the obligation of Lender to make or maintain any Loan bearing interest at the applicable LIBO Rate shall be suspended until Lender revokes such notice, and all Loans which would otherwise bear interest at the applicable LIBO Rate shall accrue interest at that rate, per annum, equal to a rate determined by Lender in Lender’s reasonable discretion.</w:t>
        <w:br/>
        <w:t xml:space="preserve">  (b)If a Benchmark Transition Event occurs, then Lender may, by notice to Administrative Borrower, select an alternate rate of interest for the LIBO Rate that gives due consideration to the then-evolving or prevailing market convention for determining a rate of interest for loans in Dollars at such time (the “Alternate Rate”), and each Borrower acknowledges that the Alternate Rate may include a mathematical adjustment using any then-evolving or prevailing market convention or method for determining a spread adjustment for the replacement of the LIBO Rate (it being the intent of the parties to this Agreement that the Alternate Rate, including any such spread adjustment, will be as comparable as reasonably possible to the LIBO Rate,  in accordance with any prevailing market convention). For avoidance of doubt, all references to the LIBO Rate shall be deemed to be references to the Alternate Rate when the Alternate Rate becomes effective in accordance with this section. In addition, Lender will have the right, from time to time by notice to Administrative Borrower to make technical, administrative or operational changes (including, without limitation, changes to the timing and frequency of determining rates and making payments of interest and other administrative matters) that Lender decides in its reasonable discretion may be appropriate to reflect the adoption and implementation of the Alternate Rate. The Alternate Rate, together with all such technical, administrative and operational changes as specified in any notice, shall</w:t>
        <w:br/>
        <w:t xml:space="preserve">  3</w:t>
        <w:br/>
        <w:t xml:space="preserve">  become effective at the later of (i) the fifth Business Day after Lender has provided notice to Administrative Borrower (the “Notice Date”) and (ii) a date specified by Lender in the notice, without any further action or consent of the Borrowers, so long as Lender has not received, by 5:00 pm St. Louis, Missouri time on the Notice Date, written notice of objection to the Alternate Rate from the Borrowers. Any determination, decision, or election that may be made by Lender pursuant to this section, including any determination with respect to a rate or adjustment or the occurrence or non-occurrence of an event, circumstance or date, and any decision to take or refrain from taking any action, will be conclusive and binding absent manifest error and may be made in its sole discretion and without consent from the Borrowers. In no event shall the Alternate Rate be less than zero. Lender does not warrant or accept any responsibility for, and shall not have any liability with respect to, the administration, submission or any other matter related to the LIBO Rate or the Alternate Rate or with respect to any alternative, successor rate thereto, or replacement rate thereof, including without limitation, whether the composition or characteristics of any such alternative, successor or replacement reference rate will be similar to, or produce the same value or economic equivalence of the LIBO Rate or have the same volume or liquidity as did the LIBO Rate prior to its discontinuance or unavailability.”</w:t>
        <w:br/>
        <w:t xml:space="preserve">  2.No Other Amendments or Waivers.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Except for the amendments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w:t>
        <w:br/>
        <w:t xml:space="preserve">  3.Representations and Warranties. In consideration of the execution and delivery of this Amendment by Lender, each Borrower and each Guarantor hereby represents and warrants in favor of Lender as follows:</w:t>
        <w:br/>
        <w:t>(a)The execution, delivery and performance by each Borrower and each Guarantor of this Amendment (i) are all within such Borrower’s corporate, limited liability company or other similar powers, as applicable, (ii) have been duly authorized, (iii) do not require any consent, authorization or approval of, registration or filing with, notice to, or any other action by, any Governmental Authority or any other Person, except for such as have</w:t>
        <w:br/>
        <w:t xml:space="preserve">  4</w:t>
        <w:br/>
        <w:t xml:space="preser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w:t>
        <w:br/>
        <w:t xml:space="preserve">  (b)This Amendment has been duly executed and delivered by each Borrower and each Guarantor, and constitutes the legal, valid and binding obligations of each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 xml:space="preserve">  (c)As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w:t>
        <w:br/>
        <w:t>(d)Immediately after giving effect hereto, no event has occurred and is continuing which constitutes a Default or an Event of Default or would constitute a Default or an Event of Default but for the requirement that notice be given or time elapse or both; and</w:t>
        <w:br/>
        <w:t xml:space="preserve">  (e)No Borrower or Guarantor has knowledge of any challenge to Lender’s claims arising under the Loan Documents, or to the effectiveness of the Loan Documents.</w:t>
        <w:br/>
        <w:t xml:space="preserve">  4.Effectiveness. This Amendment shall become effective as of the date set forth above (the “Amendment Effective Date”) upon Lender’s receipt of each of the following, in each case in form and substance satisfactory to Lender:</w:t>
        <w:br/>
        <w:t xml:space="preserve">  (a)this Amendment duly executed by each Borrower, Guarantor and Lender;</w:t>
        <w:br/>
        <w:t xml:space="preserve">  (b)the Fourth Renewal Promissory Note in the form attached hereto;</w:t>
        <w:br/>
        <w:t xml:space="preserve">  (c)the written consent of each of MetLife and New England Life Insurance Company to the extension of the Revolving Credit Maturity Date;</w:t>
        <w:br/>
        <w:t xml:space="preserve">  (d)payment to Lender of a renewal fee in the amount of $15,000; and</w:t>
        <w:br/>
        <w:t xml:space="preserve">  (e)all other documents, certificates, reports, statements, instruments or other documents as Lender may reasonably request.</w:t>
        <w:br/>
        <w:t xml:space="preserve">  5</w:t>
        <w:br/>
        <w:t xml:space="preserve">  5.Costs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t xml:space="preserve">  6.Counterparts.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t xml:space="preserve">  7.Reference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w:t>
        <w:br/>
        <w:t xml:space="preserve">  8.Governing Law. This Amendment shall be deemed to be made pursuant to the laws of the State of Florida with respect to agreements made and to be performed wholly in the State of Florida and shall be construed, interpreted, performed and enforced in accordance therewith.</w:t>
        <w:br/>
        <w:t xml:space="preserve">  9.Final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w:t>
        <w:br/>
        <w:t xml:space="preserve">  10.Loan Document. This Amendment shall be deemed to be a Loan Document for all purposes.</w:t>
        <w:br/>
        <w:t xml:space="preserve">    [Remainder of this page intentionally left blank.]</w:t>
        <w:br/>
        <w:t xml:space="preserve">      6</w:t>
        <w:br/>
        <w:t xml:space="preserve">  IN WITNESS WHEREOF, the parties hereto have caused their respective duly authorized officers or representatives to execute and deliver this Amendment as of the day and year first above written.</w:t>
        <w:br/>
        <w:t xml:space="preserve">  BORROWERS:</w:t>
        <w:br/>
        <w:t xml:space="preserve">  ALICO, INC., a Florida corporation</w:t>
        <w:br/>
        <w:t xml:space="preserve">                        By:</w:t>
        <w:br/>
        <w:t xml:space="preserve">            Name: Xxxx X. Xxxxxxx</w:t>
        <w:br/>
        <w:t xml:space="preserve">        Title:   Chief Executive Officer and President</w:t>
        <w:br/>
        <w:t xml:space="preserve">    ALICO-AGRI, LTD., a Florida limited partnership</w:t>
        <w:br/>
        <w:t xml:space="preserve">      By:</w:t>
        <w:br/>
        <w:t xml:space="preserve">  Alico, Inc., a Florida corporation, its General Partner</w:t>
        <w:br/>
        <w:t xml:space="preserve">            By:</w:t>
        <w:br/>
        <w:t xml:space="preserve">        Name: Xxxx X. Xxxxxxx</w:t>
        <w:br/>
        <w:t xml:space="preserve">    Title:   Chief Executive Officer and President</w:t>
        <w:br/>
        <w:t xml:space="preserve">    ALICO PLANT WORLD, L.L.C., a Florida limited liability company</w:t>
        <w:br/>
        <w:t xml:space="preserve">      By:</w:t>
        <w:br/>
        <w:t xml:space="preserve">  Alico-Agri, Ltd., a Florida limited partnership, its Sole Member</w:t>
        <w:br/>
        <w:t xml:space="preserve">          By:</w:t>
        <w:br/>
        <w:t xml:space="preserve">  Alico, Inc., a Florida corporation, its General Partner</w:t>
        <w:br/>
        <w:t xml:space="preserve">            By:</w:t>
        <w:br/>
        <w:t xml:space="preserve">        Name: Xxxx X. Xxxxxxx</w:t>
        <w:br/>
        <w:t xml:space="preserve">    Title:   Chief Executive Officer and President</w:t>
        <w:br/>
        <w:t xml:space="preserve">          ALICO FRUIT COMPANY, LLC, a Florida limited liability company</w:t>
        <w:br/>
        <w:t xml:space="preserve">      By:</w:t>
        <w:br/>
        <w:t xml:space="preserve">  Alico, Inc., a Florida corporation, its Managing Member</w:t>
        <w:br/>
        <w:t xml:space="preserve">            By:</w:t>
        <w:br/>
        <w:t xml:space="preserve">        Name: Xxxx X. Xxxxxxx</w:t>
        <w:br/>
        <w:t xml:space="preserve">    Title:   Chief Executive Officer and President</w:t>
        <w:br/>
        <w:t xml:space="preserve">    ALICO LAND DEVELOPMENT INC., a Florida corporation</w:t>
        <w:br/>
        <w:t xml:space="preserve">            By:</w:t>
        <w:br/>
        <w:t xml:space="preserve">        Name: Xxxx X. Xxxxxxx</w:t>
        <w:br/>
        <w:t xml:space="preserve">    Title:   Chief Executive Officer and President</w:t>
        <w:br/>
        <w:t xml:space="preserve">  ALICO CITRUS NURSERY, LLC, a Florida limited liability company</w:t>
        <w:br/>
        <w:t xml:space="preserve">      By:</w:t>
        <w:br/>
        <w:t xml:space="preserve">  Alico, Inc., a Florida corporation, its Managing Member</w:t>
        <w:br/>
        <w:t xml:space="preserve">            By:</w:t>
        <w:br/>
        <w:t xml:space="preserve">        Name: Xxxx X. Xxxxxxx</w:t>
        <w:br/>
        <w:t xml:space="preserve">    Title:   Chief Executive Officer and President</w:t>
        <w:br/>
        <w:t xml:space="preserve">          GUARANTORS:</w:t>
        <w:br/>
        <w:t xml:space="preserve">  734 CITRUS HOLDINGS, LLC</w:t>
        <w:br/>
        <w:t xml:space="preserve">              By:</w:t>
        <w:br/>
        <w:t xml:space="preserve">  Alico, Inc., as its sole Member</w:t>
        <w:br/>
        <w:t xml:space="preserve">                        By:</w:t>
        <w:br/>
        <w:t xml:space="preserve">            Name: Xxxx X. Xxxxxxx</w:t>
        <w:br/>
        <w:t xml:space="preserve">        Title:   Chief Executive Officer and President</w:t>
        <w:br/>
        <w:t xml:space="preserve">    734 HARVEST, LLC</w:t>
        <w:br/>
        <w:t xml:space="preserve">            By:</w:t>
        <w:br/>
        <w:t xml:space="preserve">        Name: Xxxx X. Xxxxxxx</w:t>
        <w:br/>
        <w:t xml:space="preserve">    Title:   Chief Executive Officer and President</w:t>
        <w:br/>
        <w:t xml:space="preserve">    734 CO-OP XXXXXX, LLC</w:t>
        <w:br/>
        <w:t xml:space="preserve">            By:</w:t>
        <w:br/>
        <w:t xml:space="preserve">        Name: Xxxx X. Xxxxxxx</w:t>
        <w:br/>
        <w:t xml:space="preserve">    Title:   Chief Executive Officer and President</w:t>
        <w:br/>
        <w:t xml:space="preserve">    734 LMC XXXXXX, LLC</w:t>
        <w:br/>
        <w:t xml:space="preserve">            By:</w:t>
        <w:br/>
        <w:t xml:space="preserve">        Name: Xxxx X. Xxxxxxx</w:t>
        <w:br/>
        <w:t xml:space="preserve">    Title:   Chief Executive Officer and President</w:t>
        <w:br/>
        <w:t xml:space="preserve">    734 BLP XXXXXX, LLC</w:t>
        <w:br/>
        <w:t xml:space="preserve">            By:</w:t>
        <w:br/>
        <w:t xml:space="preserve">        Name: Xxxx X. Xxxxxxx</w:t>
        <w:br/>
        <w:t xml:space="preserve">    Title:   Chief Executive Officer and President</w:t>
        <w:br/>
        <w:t xml:space="preserve">        ALICO CHEMICAL SALES, LLC</w:t>
        <w:br/>
        <w:t xml:space="preserve">            By:</w:t>
        <w:br/>
        <w:t xml:space="preserve">        Name: Xxxx X. Xxxxxxx</w:t>
        <w:br/>
        <w:t xml:space="preserve">    Title:   Chief Executive Officer and President</w:t>
        <w:br/>
        <w:t xml:space="preserve">    ALICO SKINK MITIGATION, LLC</w:t>
        <w:br/>
        <w:t xml:space="preserve">      By:</w:t>
        <w:br/>
        <w:t xml:space="preserve">  Alico, Inc., its Manager</w:t>
        <w:br/>
        <w:t xml:space="preserve">            By:</w:t>
        <w:br/>
        <w:t xml:space="preserve">        Name: Xxxx X. Xxxxxxx</w:t>
        <w:br/>
        <w:t xml:space="preserve">    Title:   Chief Executive Officer and President</w:t>
        <w:br/>
        <w:t xml:space="preserve">              LENDER:</w:t>
        <w:br/>
        <w:t xml:space="preserve">  RABO AGRIFINANCE LLC,</w:t>
        <w:br/>
        <w:t xml:space="preserve">    a Delaware limited liability company</w:t>
        <w:br/>
        <w:t xml:space="preserve">                        By:</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