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EMPLOYMENT AGREEMENT</w:t>
        <w:br/>
        <w:t xml:space="preserve">  This EMPLOYMENT AGREEMENT (the “Agreement”) dated as of the 11th day of December, 2023 (the “Effective Date”), is between HUMBLE IMPORTS INC d/b/a ECD AUTO DESIGN, a Florida corporation (the “Company”), and XXXXX X. XXXXXXX,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Director and Treasurer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Executive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15</w:t>
        <w:br/>
        <w:t xml:space="preserve">    4. Compensation.</w:t>
        <w:br/>
        <w:t xml:space="preserve">  (a) Salary. The Company shall pay Employee, in payment for Employee’s services hereunder, an annual rate of base salary of $425,000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Page 2 of 15</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w:t>
        <w:br/>
        <w:t xml:space="preserv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15</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15</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15</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15</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 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Page 7 of 15</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Page 8 of 15</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Page 9 of 15</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Page 10 of 15</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Page 11 of 15</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w:t>
        <w:br/>
        <w:t>Attn: Xxxxxxxx Xxxxxxx</w:t>
        <w:br/>
        <w:t>E-mail: xxxxxxxx@xxxxxxxxxxxxxxxxxxxxxxx.xxx</w:t>
        <w:br/>
        <w:t xml:space="preserve">  if to Employee:</w:t>
        <w:br/>
        <w:t xml:space="preserve">  Xxxxx X. Xxxxxxx</w:t>
        <w:br/>
        <w:t>00000 Xxxxxxx Xxx Xxxxx</w:t>
        <w:br/>
        <w:t>Winter Garden, FL 34787</w:t>
        <w:br/>
        <w:t>E-mail: xxxxxx0@xxxxxxxxxx.xxx</w:t>
        <w:br/>
        <w:t xml:space="preserve">  25. Definition of Affiliate. The term “Affiliate” shall mean an entity that is directly or indirectly owned, operated, or controlled by another entity.</w:t>
        <w:br/>
        <w:t xml:space="preserve">  Page 12 of 15</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13 of 15</w:t>
        <w:br/>
        <w:t xml:space="preserve">    IN WITNESS WHEREOF, the Parties hereto have executed this Agreement as of the Effective Date.</w:t>
        <w:br/>
        <w:t xml:space="preserve">    “COMPANY”</w:t>
        <w:br/>
        <w:t xml:space="preserve">        ECD AUTOMOTIVE DESIGN, INC.</w:t>
        <w:br/>
        <w:t xml:space="preserve">  a Delaware corporation</w:t>
        <w:br/>
        <w:t xml:space="preserve">      By: /s/ Xxxxx Xxxxxxx</w:t>
        <w:br/>
        <w:t xml:space="preserve">  Name:   Xxxxx Xxxxxxx</w:t>
        <w:br/>
        <w:t xml:space="preserve">  Title: Chief Executive Officer</w:t>
        <w:br/>
        <w:t xml:space="preserve">        “EMPLOYEE”</w:t>
        <w:br/>
        <w:t xml:space="preserve">      /s/ Xxxxx X. Xxxxxxx</w:t>
        <w:br/>
        <w:t xml:space="preserve">  XXXXX X. XXXXXXX, individually</w:t>
        <w:br/>
        <w:t xml:space="preserve">  Page 14 of 15</w:t>
        <w:br/>
        <w:t xml:space="preserve">    EXHIBIT A</w:t>
        <w:br/>
        <w:t xml:space="preserve">  JOB DUTIES</w:t>
        <w:br/>
        <w:t xml:space="preserve">  The Chief Executive Officer (“CEO”) will be responsible for overall strategic direction of the company. Supported with daily operations, the CEO will research plan &amp; execute the strategic direction of the overall business. The CEO will create the overall culture and anchors of the business, while communicating key objectives of the business to all team members &amp; shareholders.</w:t>
        <w:br/>
        <w:t xml:space="preserve">  Strategic Planning:</w:t>
        <w:br/>
        <w:t xml:space="preserve">  ● Leading the industry with discipline to support a premium luxury product, white glove luxury brand client journey, high ranking brand visibility &amp; a world class product via a highly motivated team.</w:t>
        <w:br/>
        <w:t>● Maintain accountability with the board &amp; gain strategic insight from them.</w:t>
        <w:br/>
        <w:t>● Strategic view of all mergers &amp; acquisitions</w:t>
        <w:br/>
        <w:t xml:space="preserve">  People Planning:</w:t>
        <w:br/>
        <w:t xml:space="preserve">  ● Recruit &amp; develop senior managers in the business to support the strategic operations of the business.</w:t>
        <w:br/>
        <w:t>● Innovate our product &amp; inspire our team</w:t>
        <w:br/>
        <w:t xml:space="preserve">  Business Process:</w:t>
        <w:br/>
        <w:t xml:space="preserve">  ● Implement changes and proposed plans while having the ability to pivot &amp; react.</w:t>
        <w:br/>
        <w:t>● Set &amp; measure all KPI’s for the business.</w:t>
        <w:br/>
        <w:t>● Interact with other leadership executives to set key initiatives &amp; measures.</w:t>
        <w:br/>
        <w:t>● Monitor company performance &amp; adapt when required.</w:t>
        <w:br/>
        <w:t>● Drive revenue, margin &amp; profit growth.</w:t>
        <w:br/>
        <w:t>● Develop third party relationships that support the company strategy.</w:t>
        <w:br/>
        <w:t xml:space="preserve">  Public Presence:</w:t>
        <w:br/>
        <w:t xml:space="preserve">  ● Oversee the marketing function as a department, team &amp; objectives.</w:t>
        <w:br/>
        <w:t>● Engage in media obligations and public relations.</w:t>
        <w:br/>
        <w:t xml:space="preserve">    Page 15 of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