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br/>
        <w:t>EXECUTIVE EMPLOYMENT AGREEMENT</w:t>
        <w:br/>
        <w:br/>
        <w:t>THIS EXECUTIVE EMPLOYMENT AGREEMENT (this “Agreement”), effective as of January 1, 2024 (the “Effective Date”), is entered into by and between, Trulieve Cannabis Corp. (the “Company”), and Xxx Xxxxxx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1.Employment Term. Unless terminated earlier in accordance with Section 4 of this Agreement, the Executive’s employment with the Company pursuant to this Agreement shall be for an initial term of three (3) years commencing on the Effective Date and ending on the third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2.Position and Duties; Exclusive Employment; Principal Location; No Conflicts.</w:t>
        <w:br/>
        <w:t>(a)Position and Duties. During the Employment Term, the Executive shall serve as Chief Financial Officer of the Company. The Executive, in carrying out his/her duties under this Agreement, shall report solely and directly to the Chief Executive Officer (“CEO”). The Executive shall have such duties, authority, and responsibility, commensurate with the Executive’s position, as shall be assigned and determined from time to time by the Company,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 The Executive’s reporting structure may be modified as needed by the Company to carry out the mission and business purposes of the Company.</w:t>
        <w:br/>
        <w:t>(b)Exclusive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any business other than that of the Company Group, unless the Executive</w:t>
        <w:br/>
        <w:br/>
        <w:br/>
        <w:t>receives advance written approval from the CEO. Notwithstanding the foregoing, the Executive may manage the Executive’s personal investments and, on a non-compensated basis and with prior notice to the CEO, engage in civic and not-for-profit activities, as long as such activities do not materially interfere with the Executive’s performance of the Executive’s duties to the Company Group or the commitments made by the Executive in this Section 2(b).</w:t>
        <w:br/>
        <w:t>(c)Principal Location; Travel. During the Employment Term, the Executive shall perform the duties and responsibilities required by this Agreement at such location as agreed upon by the Executive and the CEO, and will be required to travel to other locations, including internationally, as may be necessary to fulfill the Executive’s duties and responsibilities hereunder.</w:t>
        <w:br/>
        <w:t>(d)No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3.Compensation; Benefits.</w:t>
        <w:br/>
        <w:t>(a)Base Salary. During the Employment Term, the Company shall pay to the Executive an annualized base salary in the gross amount of $475,000.00 (the “Base Salary”), which shall be payable in regular installments in accordance with the Company’s customary payroll practices and procedures, but in no event less frequently than monthly, and prorated for any partial year worked.</w:t>
        <w:br/>
        <w:t>(b)Incentive Compensation.</w:t>
        <w:br/>
        <w:t>(i)Annual Bonus.</w:t>
        <w:br/>
        <w:t>(A)    Amount. During the Employment Term, the Executive shall be eligible to receive an annual target performance-based bonus opportunity equal to $380,000.00 (the “Annual Performance Bonus”). Annual Performance Bonus opportunity shall be payable subject to the achievement of certain identified target performance goals established for the Company and the Executive by the Compensation Committee of the Board of Directors of the Company (the “Compensation Committee”) for each applicable fiscal year during the Employment Term.</w:t>
        <w:br/>
        <w:t>(B)    Timing of Payment. The Annual Performance Bonus shall be paid in accordance with the terms of any plan governing Executive’s Annual Performance Bonus then in effect, but in all events during the fiscal year following the end of the fiscal year to which the Annual Performance Bonus relates.</w:t>
        <w:br/>
        <w:t>(C)    Conditions to Payment. To be eligible to receive the Annual Performance Bonus, the Executive must (I) remain continuously employed with and by the Company (or any member of the Company Group) through the last day of the fiscal year to which the Annual Performance Bonus relates, and (II) be in good standing with the Company (and all members of the Company Group) (i.e., not under any type of performance improvement plan, disciplinary suspension, final warning, or the like) as of the last day of the fiscal year to which the Annual Performance Bonus relates. Because any Annual Performance Bonus is assessed based on the totality of satisfying target performance goals for the entire quarter or fiscal year respectively, it cannot be prorated. Therefore, unless otherwise provided in this</w:t>
        <w:br/>
        <w:t>2</w:t>
        <w:br/>
        <w:br/>
        <w:t>Agreement, if the Executive’s employment terminates prior to the last day of the fiscal year to which the respective bonus relates, the Executive shall not be entitled to any such bonus.</w:t>
        <w:br/>
        <w:t>(ii)Annual Equity Awards. For each fiscal year during the Employment Term, the Executive will be eligible for an annual equity award equal to $600,000.00 in value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The Executive must be employed by the Company at the time the Compensation Committee authorizes Annual Equity Awards during any such fiscal year to be eligible for an Annual Equity Award for such fiscal year. Annual Equity Awards may be in the form of stock options, restricted stock, restricted stock units, performance shares, performance units, or any other equity award that is permitted pursuant to the Equity Incentive Plan.</w:t>
        <w:br/>
        <w:t>(c)Benefit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(f)Paid Time Off. During the Employment Term, the Executive shall be entitled to paid time off, to use as needed, in accordance with the plans, policies, programs, and practices of the Company applicable to its executives, and, in each case, subject to the prior written consent of the CEO.</w:t>
        <w:br/>
        <w:t>(g)Withholding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4.Termination. This Agreement and the Executive’s employment with the Company may be terminated in accordance with any of the following provisions.</w:t>
        <w:br/>
        <w:t>(a)Non-Renewal By Either Party. This Agreement and the Executive’s employment with the Company will terminate upon expiration of the Employment Term following Notice of Non-Renewal provided by either Party to the other Party in accordance with</w:t>
        <w:br/>
        <w:t>3</w:t>
        <w:br/>
        <w:br/>
        <w:t>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indictment of the Executive of the commission of a felony, whether or not such act was committed in connection with the business of the Company Group; (ii) involvement of Executive in any event that disqualifies Executive from employment by the Company in the state in which Executive is licensed or certified by the state cannabis regulatory authority; (iii) the commission of any act or omission that constitutes gross negligence, willful misconduct, misappropriation, embezzlement, material dishonesty, or fraud in connection with the performance of the Executive’s duties and responsibilities hereunder (iv) the commission of any act that materially damages the Company’s public reputation or brings the Company into disrepute; (v) the willful or negligent failure by the Participant to materially perform his/her duties or material failure to comply with any performance improvement plan where the Executive is presented with a performance improvement plan and provided ninety (90) days to cure performance deficiencies identified in the performance improvement plan; (vi) the Executive’s repeated violations of the Company’s personnel policies provided the Executive receives notice of such violations or the Executives material violations of the Company’s personnel policies; or (vii) any material breach of Sections 6 or 7 of this Agreement.</w:t>
        <w:br/>
        <w:t>(d)Termination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4</w:t>
        <w:br/>
        <w:br/>
        <w:t>(i)a material diminution in the Executive’s duties/responsibilities; or</w:t>
        <w:br/>
        <w:t>(ii)a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(a)Termination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w:t>
        <w:br/>
        <w:t>5.Obligations of the Company Upon Termination.</w:t>
        <w:br/>
        <w:t>(a)Termination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5</w:t>
        <w:br/>
        <w:br/>
        <w:t>1.Severance equal to the sum of: (a) two times the sum of the Base Salary in effect on the date of termination plus the greater of the Annual Performance Bonus opportunity for the current fiscal year and the actual Annual Performance Bonus paid during the prior fiscal year and (b) a prorated Annual Performance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twenty-four (24) month period in accordance with the Company’s regular payroll practices and subject to all customary withholding and deductions.</w:t>
        <w:br/>
        <w:t>2.If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twenty-four (24)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twenty-four (24) month anniversary of the Executive’s termination date; and (ii) the date on which the Executive either receives or becomes eligible to receive substantially similar coverage from another employer.</w:t>
        <w:br/>
        <w:t>3.All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w:t>
        <w:br/>
        <w:t>6</w:t>
        <w:br/>
        <w:br/>
        <w:t>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(c)Termination By the Company Without Cause or By the Executive For Good Reason Within 24 Months Following a Change in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and ½ times the sum of the Base Salary in effect on the date of termination plus the greater of the target amount of the Annual Performance Bonus for the current fiscal year and the actual amount of the Annual Performance Bonus paid during the prior fiscal year and (II) a prorated Annual Bonus for the current fiscal year (calculated as the amount of the Annual Performance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twenty-four (24) months.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w:t>
        <w:br/>
        <w:t>7</w:t>
        <w:br/>
        <w:br/>
        <w:t>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6.Non-Disclosure of Confidential Information.</w:t>
        <w:br/>
        <w:t>(a)Confidential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t>8</w:t>
        <w:br/>
        <w:br/>
        <w:t>(i)During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(iii)Nothing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w:t>
        <w:br/>
        <w:t>9</w:t>
        <w:br/>
        <w:br/>
        <w:t>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(d)Pursuant to 18 USC § 1833(b), an individual may not be held criminally or civilly liable under any federal or state trade secret law for disclosure of a trade secret: (i) made in confidence to a government official, either directly or indirectly, or to an attorney, solely for the purpose of reporting or investigating a suspected violation of law; and/or (ii)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7.Non-Competition; Non-Solicitation.</w:t>
        <w:br/>
        <w:t>(a)Non-Competition.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10</w:t>
        <w:br/>
        <w:br/>
        <w:t>(c)Reasonableness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9.Intellectual Property.</w:t>
        <w:br/>
        <w:t>(a)Work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w:t>
        <w:br/>
        <w:t>11</w:t>
        <w:br/>
        <w:br/>
        <w:t>related or pertaining to or connected with the present or anticipated business, products, or services of the Assigned Party (collectively, “Work Products”).</w:t>
        <w:br/>
        <w:t>(b)Intellectual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w:t>
        <w:br/>
        <w:t>12</w:t>
        <w:br/>
        <w:br/>
        <w:t>analogous protection thereon with the same legal force and effect as if executed by the Executive.</w:t>
        <w:br/>
        <w:t>(f)The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10.Cooperation.</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12.Severability;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w:t>
        <w:br/>
        <w:t>13</w:t>
        <w:br/>
        <w:br/>
        <w:t>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16.Governing Law; Arbitration.</w:t>
        <w:br/>
        <w:t>(a)Governing Law. This Agreement shall be governed by the laws of the State of Florida, without regard to its choice of law principles, except where federal law applies.</w:t>
        <w:br/>
        <w:t>(b)Arbitration.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w:t>
        <w:br/>
        <w:t>14</w:t>
        <w:br/>
        <w:br/>
        <w:t>16(b), the Parties agree to submit to the exclusive jurisdiction and venue of the state and federal courts in Leon County, Florida for the resolution of such dispute, controversy, or claim.</w:t>
        <w:br/>
        <w:t>17.Mutual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20.Independent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22.Amendment. This Agreement may not be amended, supplemented, or modified in whole or in part except by an instrument in writing signed by the Party or Parties against whom enforcement of such amendment, supplement, or modification is sought.</w:t>
        <w:br/>
        <w:t>23.Notices.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15</w:t>
        <w:br/>
        <w:br/>
        <w:t>If to the Company, to:</w:t>
        <w:br/>
        <w:t>Attn: Chief Legal Officer</w:t>
        <w:br/>
        <w:t>Trulieve Cannabis Corp.</w:t>
        <w:br/>
        <w:t>0000 Xxxxxx Xxxxx Xx.</w:t>
        <w:br/>
        <w:t>Tallahassee, FL 32312</w:t>
        <w:br/>
        <w:t>24.Code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w:t>
        <w:br/>
        <w:t>16</w:t>
        <w:br/>
        <w:br/>
        <w:t>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t>17</w:t>
        <w:br/>
        <w:br/>
        <w:t>IN WITNESS WHEREOF, the Parties have executed this Agreement as of the date first above written.</w:t>
        <w:br/>
        <w:br/>
        <w:t>COMPANY</w:t>
        <w:br/>
        <w:br/>
        <w:t>TRULIEVE CANNABIS CORP.</w:t>
        <w:br/>
        <w:br/>
        <w:br/>
        <w:t xml:space="preserve">By:/s/ Xxx River                </w:t>
        <w:br/>
        <w:t>Name: Xxx Xxxxxx</w:t>
        <w:br/>
        <w:t>Title:    CEO</w:t>
        <w:br/>
        <w:br/>
        <w:t>EXECUTIVE</w:t>
        <w:br/>
        <w:br/>
        <w:br/>
        <w:t xml:space="preserve">/s/ Xxx Xxxxxx                </w:t>
        <w:br/>
        <w:t>Xxx Xxxxxx</w:t>
        <w:br/>
        <w:b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