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EXECUTIVE EMPLOYMENT AGREEMENT</w:t>
        <w:br/>
        <w:t xml:space="preserve">  THIS EXECUTIVE EMPLOYMENT AGREEMENT (this “Agreement”), dated as of September 29, 2021 (the “Effective Date”), is entered into by and between, Trulieve Cannabis Corp. (the “Company”), and Xxxx Xxxxx (the “Executive”). (The Company and the Executive are sometimes individually referred to herein as a “Party” and collectively as the “Parties”).</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w:t>
        <w:br/>
        <w:t xml:space="preserve">Employment Term.  Unless terminated earlier in accordance with Section 4 of this Agreement, the Executive’s employment with the Company pursuant to this Agreement shall be for an initial term of three (3) years commencing on the Effective Date and ending on the third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  </w:t>
        <w:br/>
        <w:t>2.</w:t>
        <w:br/>
        <w:t xml:space="preserve">Position and Duties; Exclusive Employment; Principal Location; No Conflicts.  </w:t>
        <w:br/>
        <w:t>(a)</w:t>
        <w:br/>
        <w:t>Position and Duties.  During the Employment Term, the Executive shall serve as Vice President, Finance of the Company.  The Executive, in carrying out his/her duties under this Agreement, shall report solely and directly to the Chief Financial Officer (“CFO”).  The Executive shall have such duties, authority, and responsibility, commensurate with the Executive’s position, as shall be assigned and determined from time to time by the CFO,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Company Group.</w:t>
        <w:br/>
        <w:t>(b)</w:t>
        <w:br/>
        <w:t>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 Agreement will control, (ii) use the Executive’s reasonable best efforts to promote the success of the Company Group, and (iii) not be or become an officer, director, manager, employee, advisor, or consultant of any business other than that of the Company Group, unless the Executive receives advance written approval from the CFO.  Notwithstanding the foregoing, the Executive may manage the Executive’s personal investments and, on a non-compensated basis and with prior notice to the CFO, engage in civic and not-for-profit activities, as long as such activities do not materially interfere with the Executive’s performance of the Executive’s duties to the Company Group or the commitments made by the Executive in this Section 2(b).</w:t>
        <w:br/>
        <w:t xml:space="preserve">    (c)</w:t>
        <w:br/>
        <w:t xml:space="preserve">Principal Location; Travel.  During the Employment Term, the Executive shall perform the duties and responsibilities required by this Agreement at such location as agreed upon by the Executive and the CFO, and will be required to travel to other locations, including internationally, as may be necessary to fulfill the Executive’s duties and responsibilities hereunder. </w:t>
        <w:br/>
        <w:t>(d)</w:t>
        <w:br/>
        <w:t>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w:t>
        <w:br/>
        <w:t xml:space="preserve">Compensation; Benefits. </w:t>
        <w:br/>
        <w:t>(a)</w:t>
        <w:br/>
        <w:t xml:space="preserve">Base Salary.  During the Employment Term, the Company shall pay to the Executive an annualized base salary in the gross amount of Two Hundred and Twenty-Five Thousand and 00/100 Dollars ($225,000.00) (the “Base Salary”), which shall be payable in regular installments in accordance with the Company’s customary payroll practices and procedures, but in no event less frequently than monthly, and prorated for any partial year worked.  </w:t>
        <w:br/>
        <w:t>(b)</w:t>
        <w:br/>
        <w:t>Incentive Compensation.</w:t>
        <w:br/>
        <w:t>(i)</w:t>
        <w:br/>
        <w:t xml:space="preserve">Annual Bonus. </w:t>
        <w:br/>
        <w:t xml:space="preserve">(A) Amount.  During the Employment Term, the Executive shall be eligible to receive an annual performance-based bonus (the “Annual Bonus”). As of the Effective Date, the Executive’s annual target bonus opportunity shall be equal to 40% of Base Salary (the “Target Bonus”), based on the achievement of certain identified target performance goals established for the Company and the Executive by the Compensation Committee of the Board of Directors of the Company (the “Compensation Committee”) within the first quarter of such applicable fiscal year during the Employment Term.  The Compensation Committee shall establish both threshold goals (minimum acceptable performance level) for such fiscal year as well as a target goals (desired performance level) for such fiscal year and superior goals (outstanding performance level). Following the close of the fiscal year, depending on performance results, the Executive’s actual bonus may be higher or lower than the Target Bonus, as determined by the Compensation Committee.  If the Company and the Executive both achieve superior performance with respect to such target goals established by the Compensation Committee, then the Executive shall be eligible to receive an Annual Bonus equal to 80% of Base Salary; provided further that, if the Company and/or the Executive does not achieve annual target performance goals established by the Compensation Committee but does achieve threshold performance goals established by the Compensation Committee, then the Executive shall still be eligible to receive an Annual Bonus equal to 20% of Base Salary. If threshold performance goals are not achieved, then the Executive shall not receive an Annual Bonus for such fiscal year. </w:t>
        <w:br/>
        <w:t xml:space="preserve">(B) Timing of Payment.  The Annual Bonus shall be paid in accordance with the terms of any plan governing Executive’s Annual Bonus then in effect, but in all events during the fiscal year following the end of the fiscal year to which the Annual Bonus relates. </w:t>
        <w:br/>
        <w:t xml:space="preserve">(C) Conditions to Payment.  To be eligible to receive such Annual Bonus, the Executive must (I) remain continuously employed with and by the Company (or any member of the Company Group) through the last day of the fiscal year to which the Annual Bonus relates, and (II) be in good standing with the Company (and all members of the Company Group) (i.e., not under any type of performance improvement plan, disciplinary suspension, final warning, or the like) as of the last day of the fiscal year to which the Annual </w:t>
        <w:br/>
        <w:t xml:space="preserve">   2</w:t>
        <w:br/>
        <w:t xml:space="preserve">  Bonus relates. Unless otherwise provided in this Agreement, if the Executive incurs a termination of employment prior to the last day of the fiscal year to which the Annual Bonus relates, the Executive shall not be entitled to any Annual Bonus for such fiscal year. </w:t>
        <w:br/>
        <w:t>(ii)</w:t>
        <w:br/>
        <w:t xml:space="preserve">Annual Equity Awards.  For each fiscal year during the Employment Term, the Executive will be eligible for an annual equity award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Annual Equity Awards may be in the form of stock options, restricted stock, restricted stock units, performance shares, performance units, or any other equity award that is permitted pursuant to the Equity Incentive Plan. </w:t>
        <w:br/>
        <w:t>(iii)</w:t>
        <w:br/>
        <w:t xml:space="preserve">Initial Long-Term Equity Award.  In consideration of the Executive entering into this Agreement, within 30 days following the Effective Date the Company will grant the Executive a long-term equity incentive award with a total grant date value of Three Hundred and Fifteen Thousand and 00/100 Dollars ($315,000.00) (the “Initial Long-Term Equity Award”).  The Initial Long-Term Equity Award shall be subject to the terms of the Equity Incentive Plan.  Fifty percent (50%) of the Long-Term Equity Award will be in the form of restricted stock units (the “Restricted Stock Units”) and the remaining fifty percent (50%) of the Long-Term Equity Award will be in the form of options to purchase the Company’s common stock (the “Stock Options”).  In accordance with the terms of the applicable award agreement for the Restricted Stock Units, one-half (1/2) of the Restricted Stock Units shall vest in December 2022, and the remaining one-half (1/2) shall vest in December 2023.  The Stock Options shall vest over a three (3) year vesting period.  In accordance with the terms of the applicable award agreement for the Stock Options, one -third (1/3) of the Stock Options shall vest in December 2021, one-third (1/3) of the Stock Options shall vest in December 2022, and one-third (1/3) of the Stock Options shall vest in December 2023.  </w:t>
        <w:br/>
        <w:t>(c)</w:t>
        <w:br/>
        <w:t>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 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(d)</w:t>
        <w:br/>
        <w:t>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w:t>
        <w:br/>
        <w:t>(e)</w:t>
        <w:br/>
        <w:t>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 xml:space="preserve">   3</w:t>
        <w:br/>
        <w:t xml:space="preserve">  (f)</w:t>
        <w:br/>
        <w:t>Paid Time Off.  During the Employment Term, the Executive shall be entitled to paid time off, to use as needed, in accordance with the plans, policies, programs, and practices of the Company applicable to its executives, and, in each case, subject to the prior written consent of the CFO.</w:t>
        <w:br/>
        <w:t>(g)</w:t>
        <w:br/>
        <w:t>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w:t>
        <w:br/>
        <w:t>Termination.  This Agreement and the Executive’s employment with the Company may be terminated in accordance with any of the following provisions.</w:t>
        <w:br/>
        <w:t>(a)</w:t>
        <w:br/>
        <w:t>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w:t>
        <w:br/>
        <w:t xml:space="preserve">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 other Party at least ninety (90) days prior to the effective date of termination (the “Notice Period”).  During the Notice Period, the Executive shall continue to perform the duties of the Executive’s position and 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 </w:t>
        <w:br/>
        <w:t>(c)</w:t>
        <w:br/>
        <w:t xml:space="preserve">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as defined in the sole discretion of the Company and, with respect to the Executive, shall include, but is not limited to, one or more of the following: (i) the conviction of the Executive of the commission of a felony (including pleading guilty or no contest to such crime), whether or not such felony was committed in connection with the business of the Company Group; (ii) the commission of any act or omission that constitutes gross negligence, willful misconduct, misappropriation, embezzlement, material dishonesty, or fraud in connection with the performance of the Executive’s duties and responsibilities hereunder; (iii) the willful or negligent failure by the Participant to materially perform his/her duties; or (iv) any material breach of Sections 6 or 7 of this Agreement.  </w:t>
        <w:br/>
        <w:t>(d)</w:t>
        <w:br/>
        <w:t xml:space="preserve">Termination by the Executive for Good Reason. The Executive may terminate this Agreement and the Executive’s employment with the Company for Good Reason.  “Good Reason” shall mean </w:t>
        <w:br/>
        <w:t xml:space="preserve">   4</w:t>
        <w:br/>
        <w:t xml:space="preserve">  the occurrence of any of the following events, without the express written consent of the Executive, unless such events are fully corrected in all material respects by the Company within thirty (30) days following written notification by the Executive to the Company:</w:t>
        <w:br/>
        <w:t>(i)</w:t>
        <w:br/>
        <w:t>a material diminution in the Executive’s duties/responsibilities; or</w:t>
        <w:br/>
        <w:t>(ii)</w:t>
        <w:br/>
        <w:t>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(e)</w:t>
        <w:br/>
        <w:t xml:space="preserve">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 that the Executive has a Disability.  For purposes of this Agreement, “Disability” means the incapacity or inability of the Executive, whether due to accident, sickness, or otherwise, as confirmed in writing by a medical doctor acceptable to the Executive and the Company, to perform 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  </w:t>
        <w:br/>
        <w:t>5.</w:t>
        <w:br/>
        <w:t>Obligations of the Company Upon Termination.</w:t>
        <w:br/>
        <w:t>(a)</w:t>
        <w:br/>
        <w:t>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(i)</w:t>
        <w:br/>
        <w:t>The Company shall pay the Executive within thirty (30) days after the effective date of termination or by such earlier date if required by applicable law, (A) the 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w:t>
        <w:br/>
        <w:t xml:space="preserve">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 </w:t>
        <w:br/>
        <w:t>(iii)</w:t>
        <w:br/>
        <w:t xml:space="preserve">In addition to the Accrued Obligations, the Other Benefits and the Earned Annual Bonus, subject to (A) Section 5(c) below, (B) the Executive timely signing, delivering, and not revoking the Release (as defined in this Section 5(a)(iii)), and (C) the Executive’s compliance with the Executive’s </w:t>
        <w:br/>
        <w:t xml:space="preserve">   5</w:t>
        <w:br/>
        <w:t xml:space="preserve">  post-termination obligations in Sections 6, 7, 9, and 10 hereof following the termination of the Executive’s employment with the Company, the Executive shall be entitled to receive the following additional benefits: </w:t>
        <w:br/>
        <w:t>1.</w:t>
        <w:br/>
        <w:t>Severance equal to the sum of: (a) one times the sum of the Base Salary in effect on the date of termination plus the greater of the Target Bonus for the current fiscal year and the actual Annual Bonus paid during the prior fiscal year and (b)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 twelve (12) month period in accordance with the Company’s regular payroll practices and subject to all customary withholding and deductions.</w:t>
        <w:br/>
        <w:t>2.</w:t>
        <w:br/>
        <w:t>If the Executive timely and properly elects continuation coverage under the Consolidated Omnibus Budget Reconciliation Act of 1985 (“COBRA”), the Company 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twelve (12)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twelve (12) month anniversary of the Executive’s termination date; and (ii) the date on which the Executive either receives or becomes eligible to receive substantially similar coverage from another employer.</w:t>
        <w:br/>
        <w:t>3.</w:t>
        <w:br/>
        <w:t xml:space="preserve">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 </w:t>
        <w:br/>
        <w:t xml:space="preserve">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 sentence is in one taxable year of the </w:t>
        <w:br/>
        <w:t xml:space="preserve">   6</w:t>
        <w:br/>
        <w:t xml:space="preserve">  Executive and the latest possible payment date is in a second taxable year of the Executive, the first installment payment of Severance shall be made on the first normal payroll date that immediately follows the last date of the Consideration Period.  </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w:t>
        <w:br/>
        <w:t xml:space="preserve">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 </w:t>
        <w:br/>
        <w:t>(c)</w:t>
        <w:br/>
        <w:t>Termination By the Company Without Cause or By the Executive For Good Reason Within 24 Months Following a Change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one and ½ times the sum of the Base Salary in effect on the date of termination plus the greater of the Target Bonus for the current fiscal year and the actual Annual Bonus paid during the prior fiscal year and (II)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eighteen (18) months.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 xml:space="preserve">   7</w:t>
        <w:br/>
        <w:t xml:space="preserve">  (e)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  </w:t>
        <w:br/>
        <w:t>6.</w:t>
        <w:br/>
        <w:t>Non-Disclosure of Confidential Information.</w:t>
        <w:br/>
        <w:t>(a)</w:t>
        <w:br/>
        <w:t xml:space="preserve">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  </w:t>
        <w:br/>
        <w:t>(i)</w:t>
        <w:br/>
        <w:t>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w:t>
        <w:br/>
        <w:t xml:space="preserve">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w:t>
        <w:br/>
        <w:t xml:space="preserve">   8</w:t>
        <w:br/>
        <w:t xml:space="preserve">  Company waives compliance with the provisions of this Section 6(a)(ii) to permit a particular disclosure, the Executive will furnish only that portion of the Confidential Information which the Executive is legally required to disclose.  </w:t>
        <w:br/>
        <w:t>(iii)</w:t>
        <w:br/>
        <w:t>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w:t>
        <w:br/>
        <w:t>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(c)</w:t>
        <w:br/>
        <w:t>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subject to the restrictions herein, and such restrictions shall survive any termination or expiration of this Agreement.</w:t>
        <w:br/>
        <w:t>7.</w:t>
        <w:br/>
        <w:t>Non-Competition; Non-Solicitation.</w:t>
        <w:br/>
        <w:t>(a)</w:t>
        <w:br/>
        <w:t xml:space="preserve">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w:t>
        <w:br/>
        <w:t xml:space="preserve">   9</w:t>
        <w:br/>
        <w:t xml:space="preserve">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Company.  For purposes of this Agreement, the “Restricted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w:t>
        <w:br/>
        <w:t>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(c)</w:t>
        <w:br/>
        <w:t>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w:t>
        <w:br/>
        <w:t>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8.</w:t>
        <w:br/>
        <w:t xml:space="preserve">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 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w:t>
        <w:br/>
        <w:t xml:space="preserve">   10</w:t>
        <w:br/>
        <w:t xml:space="preserve">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 </w:t>
        <w:br/>
        <w:t>9.</w:t>
        <w:br/>
        <w:t xml:space="preserve">Intellectual Property.  </w:t>
        <w:br/>
        <w:t>(a)</w:t>
        <w:br/>
        <w:t xml:space="preserve">Work Product Owned By the Company.  The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  </w:t>
        <w:br/>
        <w:t>(b)</w:t>
        <w:br/>
        <w:t>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w:t>
        <w:br/>
        <w:t xml:space="preserve">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 </w:t>
        <w:br/>
        <w:t>(d)</w:t>
        <w:br/>
        <w:t xml:space="preserve">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fully-paid, and royalty-free license, with rights to sublicense through multiple levels of sublicenses, to use, reproduce, publish, create derivative works of, market, advertise, distribute, sell, </w:t>
        <w:br/>
        <w:t xml:space="preserve">   11</w:t>
        <w:br/>
        <w:t xml:space="preserve">  publicly perform, and publicly display and otherwise exploit by all means now known or later developed the Work Products and Intellectual Property.  </w:t>
        <w:br/>
        <w:t>(e)</w:t>
        <w:br/>
        <w:t xml:space="preserve">Maintenance; Disclosure; Execution; Attorney-In-Fact.  The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Executive. </w:t>
        <w:br/>
        <w:t>(f)</w:t>
        <w:br/>
        <w:t xml:space="preserve">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  </w:t>
        <w:br/>
        <w:t>10.</w:t>
        <w:br/>
        <w:t xml:space="preserve">Cooperation.  </w:t>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11.</w:t>
        <w:br/>
        <w:t xml:space="preserve">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  </w:t>
        <w:br/>
        <w:t>12.</w:t>
        <w:br/>
        <w:t xml:space="preserve">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w:t>
        <w:br/>
        <w:t xml:space="preserve">   12</w:t>
        <w:br/>
        <w:t xml:space="preserve">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  </w:t>
        <w:br/>
        <w:t>13.</w:t>
        <w:br/>
        <w:t xml:space="preserve">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    </w:t>
        <w:br/>
        <w:t>14.</w:t>
        <w:br/>
        <w:t xml:space="preserve">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the restrictive covenants and other obligations in Sections 6, 7, 9, and 10 hereof, by any member of the Company Group as well as by the Company Group’s future affiliates, successors, and/or assigns.  </w:t>
        <w:br/>
        <w:t>15.</w:t>
        <w:br/>
        <w:t>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w:t>
        <w:br/>
        <w:t xml:space="preserve">Governing Law; Arbitration. </w:t>
        <w:br/>
        <w:t>(a)</w:t>
        <w:br/>
        <w:t xml:space="preserve">Governing Law. This Agreement shall be governed by the laws of the State of Florida, without regard to its choice of law principles, except where federal law applies.  </w:t>
        <w:br/>
        <w:t>(b)</w:t>
        <w:br/>
        <w:t xml:space="preserve">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 (the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w:t>
        <w:br/>
        <w:t xml:space="preserve">   13</w:t>
        <w:br/>
        <w:t xml:space="preserve">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 16(b), the Parties agree to submit to the exclusive jurisdiction and venue of the state and federal courts in Leon County, Florida for the resolution of such dispute, controversy, or claim.</w:t>
        <w:br/>
        <w:t>17.</w:t>
        <w:br/>
        <w:t>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w:t>
        <w:br/>
        <w:t>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w:t>
        <w:br/>
        <w:t xml:space="preserve">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 </w:t>
        <w:br/>
        <w:t>20.</w:t>
        <w:br/>
        <w:t>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21.</w:t>
        <w:br/>
        <w:t xml:space="preserve">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 </w:t>
        <w:br/>
        <w:t>22.</w:t>
        <w:br/>
        <w:t>Amendment.  This Agreement may not be amended, supplemented, or modified in whole or in part except by an instrument in writing signed by the Party or Parties against whom enforcement of such amendment, supplement, or modification is sought.</w:t>
        <w:br/>
        <w:t>23.</w:t>
        <w:br/>
        <w:t xml:space="preserve">Notices.  Any notice, request, or other document required or permitted to be given under this Agreement shall be in writing and shall be deemed given: (a) upon delivery, if delivered by hand; (b) three (3) days after the </w:t>
        <w:br/>
        <w:t xml:space="preserve">   14</w:t>
        <w:br/>
        <w:t xml:space="preserv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If to the Company, to:</w:t>
        <w:br/>
        <w:t>Attn:  Chief Legal Officer</w:t>
        <w:br/>
        <w:t>Trulieve Cannabis Corp.</w:t>
        <w:br/>
        <w:t>0000 Xxxxxx Xxxxx Xx.</w:t>
        <w:br/>
        <w:t>Tallahassee, FL 32312</w:t>
        <w:br/>
        <w:t>24.</w:t>
        <w:br/>
        <w:t>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 specified employee, then such payment shall instead be payable on the date that is the earliest of (i) six (6) months after Executive’s “separation from service,” or (ii) Executive’s death.</w:t>
        <w:br/>
        <w:t>25.</w:t>
        <w:br/>
        <w:t xml:space="preserve">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w:t>
        <w:br/>
        <w:t xml:space="preserve">   15</w:t>
        <w:br/>
        <w:t xml:space="preserve">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 </w:t>
        <w:br/>
        <w:t>26.</w:t>
        <w:br/>
        <w:t>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[Remainder of this page intentionally left blank; signatures follow.]</w:t>
        <w:br/>
        <w:t xml:space="preserve">     16</w:t>
        <w:br/>
        <w:t xml:space="preserve">  IN WITNESS WHEREOF, the Parties have executed this Agreement as of the date first above written.</w:t>
        <w:br/>
        <w:t xml:space="preserve">    COMPANY</w:t>
        <w:br/>
        <w:t xml:space="preserve"> TRULIEVE CANNABIS CORP.</w:t>
        <w:br/>
        <w:t xml:space="preserve">  By: /s/Xxxx X’Xxxxx</w:t>
        <w:br/>
        <w:t>Xxxx:  Xxxx X’Xxxxx</w:t>
        <w:br/>
        <w:t>Title: CFO</w:t>
        <w:br/>
        <w:t xml:space="preserve">     EXECUTIVE</w:t>
        <w:br/>
        <w:t xml:space="preserve">  /s/ Xxxx Xxxxx</w:t>
        <w:br/>
        <w:t>Xxxx Xxxxx</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