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 Xxxxxxxx, an individual whose mailing address is 0000 Xxxxxxxxx Xxxxxx Xxxxxxx XX 00000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and the Executive agree this Agreement will replace the Employment Agreement between the Executive and Jupiter Wellness, Inc. dated July 22, 2021 (“Jupiter Agreement”).</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President, and the Executive hereby accepts employment, upon the terms and conditions hereinafter set forth.</w:t>
        <w:br/>
        <w:t xml:space="preserve">  3. Duties and Responsibilities. During the term of this Agreement, the Executive shall serve as President of the Company, and shall have all power and authority inherent in to the office of President of the Company and shall be responsible for those areas in the conduct of the business reasonably assigned to him by the Board of Directors (the “Board”).</w:t>
        <w:br/>
        <w:t xml:space="preserve">  4. Term. The Term of employment hereunder will commence on the Effective Date of January 1, 2023.</w:t>
        <w:br/>
        <w:t xml:space="preserve">  1</w:t>
        <w:br/>
        <w:t xml:space="preserve">    5. Compensation and Benefits.</w:t>
        <w:br/>
        <w:t xml:space="preserve">  a. Salary. The Executive shall be paid an initial base salary (the “Base Salary”), payable bi-weekly, at an annualized rate of One Hundred Thousand ($100,000) Dollars for the period commencing on the Effective Date and ending at the end of the Term.</w:t>
        <w:br/>
        <w:t xml:space="preserve">  b. Options and Bonus. The Executive shall receive Fifty Thousand (50,000) ISO options to purchase shares of the Company’s common stock pursuant to the 2022 Equity Inventive Plan. The ISO options will vest in annually tranches and be full vested two (2) years from the date of this Agreement. The option strike price will be the closing price on the date of issuance.</w:t>
        <w:br/>
        <w:t xml:space="preserve">  a. Additionally, the executive will receive an annual bonus(s’) based on a percentage of EBITDA, growth and other factors which will determined by the Board.</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three (3) weeks of paid vacation during this Agreement. During the Term of this Agreement Executive may utilize such vacation as the Executive shall determine; provided however, that the Executive shall evidence reasonable judgment with regard to appropriate vacation scheduling. The executive will not be paid for unused vacation time.</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2</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3</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their remaining (12 month prorated) calendar year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Orange County or Orlando, Florida surrounding area; or</w:t>
        <w:br/>
        <w:t xml:space="preserve">  iii. any reduction in the Executive’s Base Salary; or</w:t>
        <w:br/>
        <w:t xml:space="preserve">  iv. a material breach of the Agreement by the Company; or</w:t>
        <w:br/>
        <w:t xml:space="preserve">  4</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two-thirds of the directors then in office who were directors at the commencement of the Agreement; or</w:t>
        <w:br/>
        <w:t xml:space="preserve">  5</w:t>
        <w:br/>
        <w:t xml:space="preserve">    C. there is a failure to elect two or more (or such number of directors as would constitute a majority of the Board) candidates nominated by management of the Company to the Board;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 In addition, in the event of termination, the Executive retains the right to re-assume the Options Book of Business that he previously built at Options prior to his employment with Jupiter Wellness.</w:t>
        <w:br/>
        <w:t xml:space="preserve">  6</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7</w:t>
        <w:br/>
        <w:t xml:space="preserve">    e. Restrictive Period. The “Restrictive Period” shall be deemed to be two (2) years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9</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10</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11</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w:t>
        <w:br/>
        <w:t>/s/ Xxxxxxx Xxxxxx</w:t>
        <w:br/>
        <w:t xml:space="preserve">  Name: Xxxxxxx Xxxxxx</w:t>
        <w:br/>
        <w:t xml:space="preserve">    Chief Executive Officer</w:t>
        <w:br/>
        <w:t xml:space="preserve">        THE EXECUTIVE</w:t>
        <w:br/>
        <w:t xml:space="preserve">        /s/ Xxxx Xxxxxxxx</w:t>
        <w:br/>
        <w:t xml:space="preserve">  Xxxx Xxxxxxxx</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