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Xxxxxxx Xxxxxx,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Chief Executive Officer, and the Executive hereby accepts employment, upon the terms and conditions hereinafter set forth.</w:t>
        <w:br/>
        <w:t xml:space="preserve">  3. Duties and Responsibilities. During the term of this Agreement, the Executive shall serve as CEO of the Company, and shall have all power and authority inherent in to the office of CEO and shall be responsible for those areas in the conduct of the business reasonably assigned to him by the Board of Directors of the Company (the “Board”).</w:t>
        <w:br/>
        <w:t xml:space="preserve">    4. Term. The Term of employment hereunder will commence on the Effective Date of January 1, 2023.</w:t>
        <w:br/>
        <w:t xml:space="preserve">    5. Compensation and Benefits.</w:t>
        <w:br/>
        <w:t xml:space="preserve">    a. Salary. The Executive shall be paid an initial base salary (the “Base Salary”), payable bi-weekly, at an annualized rate of One Hundred Seventy-Five Thousand Dollars ($175,000). In addition, the Executive shall receive $175,000 in stock options annually. The options shall have a cashless exercise. The base salary and stock options will increase 10% annually thereafter for the following two (2) years of 2023 and 2024. The amount of the Base Salary may be increased from time to time by the Board.</w:t>
        <w:br/>
        <w:t xml:space="preserve">        b. Bonus: The Company may pay Employee at its discretion a bonus set by the Board and Compensation Committee (the “Bonus”) (i) the Bonus may be paid, at the election of Employee, in cash or shares of Common Stock.</w:t>
        <w:br/>
        <w:t xml:space="preserve">  1</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four (4) weeks annually during the term of this Agreement. During the Term of this Agreement, Executive may utilize such vacation as the Executive shall determine; provided however, that the Executive shall evidence reasonable judgment with regard to appropriate vacation scheduling.</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2</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3</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12 months’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Palm Beach County or Jupiter, Florida surrounding area; or</w:t>
        <w:br/>
        <w:t xml:space="preserve">  iii. any reduction in the Executive’s Base Salary; or</w:t>
        <w:br/>
        <w:t xml:space="preserve">  iv. a material breach of the Agreement by the Company; or</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4</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(50%) percent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 thirds of the directors then in office who were directors at the commencement of the Agreement; or</w:t>
        <w:br/>
        <w:t xml:space="preserve">  C. there is a failure to elect two or more (or such number of directors as would constitute a majority of the Board) candidates nominated by management of the Company to the Board;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5</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6</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e. Restrictive Period. The “Restrictive Period” shall be deemed to be three (3) months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7</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8</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9</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10</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11</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 /s/ Xxxxx X. Xxxx</w:t>
        <w:br/>
        <w:t xml:space="preserve">  Name: Xxxxx X. Xxxx</w:t>
        <w:br/>
        <w:t xml:space="preserve">  Chairman</w:t>
        <w:br/>
        <w:t xml:space="preserve">        THE EXECUTIVE</w:t>
        <w:br/>
        <w:t xml:space="preserve">        /s/ Xxxxxxx Xxxxxx</w:t>
        <w:br/>
        <w:t xml:space="preserve">  Xxxxxxx Xxxxxx</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