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10.4 </w:t>
        <w:br/>
        <w:t xml:space="preserve">  Executive Employment Agreement</w:t>
        <w:br/>
        <w:t xml:space="preserve">  Dated as of September 1, 2021</w:t>
        <w:br/>
        <w:t xml:space="preserve">  This Executive Employment Agreement (the “Agreement”) dated as of the date first set forth above (the “Effective Date”) is entered into by and between Jupiter Neurosciences, Inc., a Delaware corporation (the “Company”) and Xxxxxxxx Xxxxxxx (the “Executive”). The Company and Executive may collective be referred to as the “Parties” and each individually as a “Party”.</w:t>
        <w:br/>
        <w:t xml:space="preserve">  WHEREAS, the Company now desires to employ the Executive as the Chief Scientific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third (3rd) anniversary of the Effective Date and (ii) the time of the termination of the Executive’s employment in accordance with Section 2(d).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Scientific Officer of the Company and shall report to the Chief Executive Officer of the Company.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Chief Executive Officer or the Board of Directors of the Company (the “Board”). During the Term, Executive shall devote all of Executive’s business time and energies to the business and affairs of Company. Notwithstanding the foregoing, nothing herein shall preclude Executive from (i) performing services for such other companies as Company may designate or permit; (ii) engaging in charitable activities and community affairs; and (iii) managing Executive’s personal investments and affairs; provided, however, that the activities set out in clauses (i), (ii), and (iii) shall be limited by Executive so as not to materially interfere, individually or in the aggregate, with the performance of Executive’s duties and responsibilities hereunder.</w:t>
        <w:br/>
        <w:t xml:space="preserve">  1</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$336,000, payable on a monthly basis commencing on the Effective Date (as the same may be adjusted herein, the “Base Salary”). The Base Salary shall be paid in accordance with the Company’s payroll policies.</w:t>
        <w:br/>
        <w:t xml:space="preserve">  (b) Bonus. Commencing with the Company’s 2021 fiscal year, Executive shall be eligible to receive an annual cash bonus (the “Annual Performance Bonus”), with the target amount of such Annual Performance Bonus equal to thirty percent (30%) of the Base Salary in the year to which the Annual Performance Bonus relates; provided that the actual amount of the Annual Performance Bonus may be greater or less than such target amount. The amount of the Annual Performance Bonus shall be determined by the Board or an appropriate committee thereof in its sole discretion, and shall be paid to Executive no later than March 15th of the calendar year immediately following the calendar year in which it was earned. Except as provided in Section 3, Executive must be employed by Company on the last day of the applicable fiscal year to which the Annual Performance Bonus relates in order to be eligible for, and to be deemed as having earned, such Annual Performance Bonus. The Company shall deduct from the Annual Performance Bonus all amounts required to be deducted or withheld under applicable law or under any employee benefit plan in which Executive participates. Executive shall be eligible to receive any additional discretionary bonuses as determined by the Board.</w:t>
        <w:br/>
        <w:t xml:space="preserve">  (c) Fringe Benefits. During the Term, the Executive shall be entitled to fringe benefits consistent with the practices of the Company, and to the extent the Company provides similar benefits to the Company’s executive officers. In addition to standard paid holidays, Executive may take up to twenty (20) days of paid time off per year, to be scheduled so as not to materially disrupt Company’s operations, pursuant to the terms and conditions of Company policy and practices as applied to Company senior executives.</w:t>
        <w:br/>
        <w:t xml:space="preserve">  (d)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 Executive must submit any request for reimbursement no later than ninety (90) days following the date that such business expense is incurred. All reimbursements provided under this Agreement shall be made or provided in accordance with the requirements of Section 409A including, where applicable, the requirement that (i) any reimbursement is for expenses incurred during Executive’s lifetime (or during a shorter period of time specified in this Agreement); (ii) the amount of expenses eligible for reimbursement during a calendar year may not affect the expenses eligible for reimbursement in any other calendar year; (iii) the reimbursement of an eligible expense shall be made no later than the last day of the calendar year following the year in which the expense is incurred; and (iv) the right to reimbursement or in-kind benefits is not subject to liquidation or exchange for another benefit</w:t>
        <w:br/>
        <w:t xml:space="preserve">  2</w:t>
        <w:br/>
        <w:t xml:space="preserve">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 the 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3</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with the existence of “Cause” to be determined by the Board, then in such event, subject to Section 3(g), (i) the Company shall pay to Executive any unpaid Base Salary and benefits then owed or accrued, and any unreimbursed expenses, pursuant to the terms of Section 2(d), incurred by the Executive in each case through the termination date, and each of which shall be paid within 10 days following the termination date; (ii) any unvested portion of any equity granted to Executive hereunder or under the Option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4</w:t>
        <w:br/>
        <w:t xml:space="preserve">    (ii) Without Cause. In the event that the Company terminates the Term or Executive’s employment hereunder without Cause, then in such event, subject to Section 3(g), (i) the Company shall pay to Executive any Base Salary and benefits then owed or accrued and any unreimbursed expenses incurred by the Executive in each case through the termination date, and each of which shall be paid within 10 days following the termination date; (ii) the Company shall pay to Executive an amount in cash equal to the target Annual Performance Bonus for which Executive would have been eligible with respect to the year in which termination of Executive’s employment occurs multiplied by a fraction, the numerator of which is the number of calendar days during which Executive is employed by Company during the year of termination and the denominator of which is 365 (the “Pro-Rated Bonus”), which shall be paid within 10 days following the termination date; (iii) the Company shall continue to pay to Executive the Base Salary that would have been paid to Executive for the following twelve (12) month period, assuming that this Agreement and the Term had remained in effect, which shall be paid in accordance with the Company’s customary payroll schedule; (iv) any Equity Grant already made to Executive shall, to the extent not already vested, be deemed automatically vested; and (v)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3(g),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3(g),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any accrued and unpaid Annual Performance Bonus for the prior fiscal year; and the Pro-Rated Bonus, each of which shall be paid within 10 days following the date of the Executive’s termination, and any unvested portion of any Equity Grants shall immediately be forfeited as of the termination date without any further action of the Parties.</w:t>
        <w:br/>
        <w:t xml:space="preserve">  (g)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5</w:t>
        <w:br/>
        <w:t xml:space="preserve">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6</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w:t>
        <w:br/>
        <w:t xml:space="preserve">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8</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9</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10</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11</w:t>
        <w:br/>
        <w:t xml:space="preserve">    9. Non-Compete and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12</w:t>
        <w:br/>
        <w:t xml:space="preserve">    (e) Non-Compete Restriction.</w:t>
        <w:br/>
        <w:t xml:space="preserve">  (i) Subject to applicable law, Executive agrees that, for the Term and for a period of nine (9) months thereafter, Executive shall not, directly or indirectly: (i) engage in any other business, association or relationship of any kind with any business which provides, in whole or in part, the same or similar services and/or products offered by Company as part of its Existing Business or Developing Businesses which directly or indirectly competes with Company; nor (ii) solicit or accept, or induce any person to reduce goods or services to Company, or in any manner assist others in the solicitation, acceptance, or inducement of, any business transactions with Company’s existing and prospective clients, accounts, suppliers and/or other persons or entities with whom Company has had business relationships (or whom Company had specifically identified for a prospective business relationship). As used herein, Executive shall be considered “directly engaged” in such business if Executive acts as a shareholder, officer, owner, consultant, associate, employee or agent of any business offering and/or providing any of the restricted services and/or products identified above; and shall be considered “indirectly engaged” if any immediate relative of such persons (spouse, children, parents or siblings), or other person with whom such persons have a significant personal relationship, is engaged in such business.</w:t>
        <w:br/>
        <w:t xml:space="preserve">  (ii) Executive agrees that the geographic scope of the above restrictions shall extend to the geographic area in which Company actively conducted business immediately prior to termination of this Agreement.</w:t>
        <w:br/>
        <w:t xml:space="preserve">  (f)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9(f)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(g)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13</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justifiably retains an attorney to enforce the provisions of this Section 9, the Company shall be entitled to recover its reasonable attorneys’ fees and costs so incurred from Executive, both prior to filing a lawsuit, during the lawsuit and on appeal.</w:t>
        <w:br/>
        <w:t xml:space="preserve">  (h)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10. Representations and Warranties Relating to Securities. The Options,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14</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15</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 Executive is an individual resident of the state set forth in the notices provision for Executive herein.</w:t>
        <w:br/>
        <w:t xml:space="preserve">  16</w:t>
        <w:br/>
        <w:t xml:space="preserve">    11. Effect of Waiver. The waiver by either Party of a breach of any provision of this Agreement shall not operate or be construed as a waiver of any subsequent breach hereof. No waiver shall be valid unless in writing.</w:t>
        <w:br/>
        <w:t xml:space="preserve">  12. Assignment. This Agreement may not be assigned by either Party without the express prior written consent of the other Party hereto, except that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 This Agreement shall inure to the benefit of, and shall be binding upon, the successors and permitted assigns of the Parties.</w:t>
        <w:br/>
        <w:t xml:space="preserve">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14. Entire Agreement; Effectiveness of Agreement. This Agreement, the Option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15. Survival. The provisions of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17. Governing Law and Waiver of Jury Trial.</w:t>
        <w:br/>
        <w:t xml:space="preserve">  (a) All questions concerning the construction, validity, enforcement and interpretation of this Agreement shall be determined, and this Agreement shall be governed by and construed and enforced in accordance with the internal laws of the State of Florida, and for all purposes shall be construed in accordance with the laws of such state, without giving effect to the choice of law provisions of such state.</w:t>
        <w:br/>
        <w:t xml:space="preserve">  17</w:t>
        <w:br/>
        <w:t xml:space="preserve">    (B) SUBJECT TO SECTION 18, EACH PARTY AGREES THAT ALL LEGAL PROCEEDINGS CONCERNING THIS AGREEMENT SHALL BE COMMENCED IN THE STATE OF FLORIDA AND THE UNITED STATES FEDERAL COURTS SITTING IN PALM BEACH COUNTY, FLORIDA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w:t>
        <w:br/>
        <w:t xml:space="preserve">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Jupiter, Florida pursuant to then-prevailing National Rules for the Resolution of Employment Disputes of the American Arbitration Association.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18,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 Expenses. Other than as specifically set forth herein, each of the Parties will bear their own respective expenses, including legal, accounting and professional fees, incurred in connection with this Agreement and the transactions contemplated herein.</w:t>
        <w:br/>
        <w:t xml:space="preserve">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Jupiter Neurosciences, Inc.</w:t>
        <w:br/>
        <w:t>Attn: Xxxxxxxx Xxxxx</w:t>
        <w:br/>
        <w:t>0000 Xxxxx XX Xxx 0</w:t>
        <w:br/>
        <w:t>Xxx 000</w:t>
        <w:br/>
        <w:t>Xxxxxxx, XX 00000</w:t>
        <w:br/>
        <w:t>Email: x.xxxxx@xxxxxxxxxxxxxxxxxxxx.xxx</w:t>
        <w:br/>
        <w:t xml:space="preserve">  19</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If to Executive, to:</w:t>
        <w:br/>
        <w:t xml:space="preserve">  Xxxxxxxx Xxxxxxx</w:t>
        <w:br/>
        <w:t>000 Xxxxxxx Xxxxx</w:t>
        <w:br/>
        <w:t>Xxxxxxxxxxx, XX 00000</w:t>
        <w:br/>
        <w:t>Email: x.xxxxxxx@xxxxxxxxxxxxxxxxxxxx.xxx</w:t>
        <w:br/>
        <w:t xml:space="preserve">  23. Headings. The section headings contained in this Agreement are inserted for convenience only and shall not affect in any way the meaning or interpretation of this Agreement.</w:t>
        <w:br/>
        <w:t xml:space="preserve">  24. Counsel. The Parties acknowledge and agree that Anthony L.G.,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20</w:t>
        <w:br/>
        <w:t xml:space="preserve">    IN WITNESS WHEREOF, the Parties have executed this Agreement as of the Effective Date.</w:t>
        <w:br/>
        <w:t xml:space="preserve">    Jupiter Neurosciences, Inc.</w:t>
        <w:br/>
        <w:t xml:space="preserve">        By: /s/ Xxxxxxxx Xxxxx</w:t>
        <w:br/>
        <w:t xml:space="preserve">  Name: Xxxxxxxx Xxxxx</w:t>
        <w:br/>
        <w:t xml:space="preserve">  Title: Chairman and Chief Executive Officer</w:t>
        <w:br/>
        <w:t xml:space="preserve">    Executive:</w:t>
        <w:br/>
        <w:t xml:space="preserve">      By: /s/ Xxxxxxxx Xxxxxxx</w:t>
        <w:br/>
        <w:t xml:space="preserve">  Name: Xxxxxxxx Xxxxxxx</w:t>
        <w:br/>
        <w:t xml:space="preserve">  Title: Chief Scientific Officer</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