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(this “Agreement”), dated as of September 29, 2021 (the “Effective Date”), is entered into by and between, Trulieve Cannabis Corp. (the “Company”), and Xxxx 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 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 Position and Duties; Exclusive Employment; Principal Location; No Conflicts.</w:t>
        <w:br/>
        <w:t>(a) Position and Duties. During the Employment Term, the Executive shall serve as Chief Legal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 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CEO. Notwithstanding the foregoing, the Executive may manage the</w:t>
        <w:br/>
        <w:t>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 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 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 Compensation; Benefits.</w:t>
        <w:br/>
        <w:t>(a) Base Salary. During the Employment Term, the Company shall pay to the Executive an annualized base salary in the gross amount of Three Hundred and Fifty Thousand and 00/100 Dollars ($350,000.00) (the “Base Salary”), which shall be payable in regular installments in accordance with the Company’s customary payroll practices and procedures, but in no event less frequently than monthly, and prorated for any partial year worked.</w:t>
        <w:br/>
        <w:t>(b) Incentive Compensation.</w:t>
        <w:br/>
        <w:t>(i) Annual Bonus.</w:t>
        <w:br/>
        <w:t>(A) Amount. During the Employment Term, the Executive shall be eligible to receive an annual performance-based bonus (the “Annual Bonus”). As of the Effective Date, the Executive’s annual target bonus opportunity shall be equal to 70%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 Compensation Committee. If the Company and the Executive both achieve superior performance with respect to such target goals established by the Compensation Committee, then the Executive shall be eligible to receive an Annual Bonus equal to 140%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35% of Base Salary. If threshold performance goals are not achieved, then the Executive shall not receive an Annual Bonus for such fiscal year.</w:t>
        <w:br/>
        <w:t xml:space="preserve">  2</w:t>
        <w:br/>
        <w:t>(B) Timing of Payment. The Annual Bonus shall be paid in accordance with the terms of any plan governing Executive’s Annual Bonus then in effect, but in all events during the fiscal year following the end of the fiscal year to which the Annual Bonus relates.</w:t>
        <w:br/>
        <w:t>(C)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day of the fiscal year to which the Annual Bonus relates, the Executive shall not be entitled to any Annual Bonus for such fiscal year.</w:t>
        <w:br/>
        <w:t>(ii) 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w:t>
        <w:br/>
        <w:t>(iii) Initial Long-Term Equity Award. In consideration of the Executive entering into this Agreement, within 30 days following the Effective Date the Company will grant the Executive a long-term equity incentive award with a total grant date value of Seven Hundred and Fifty Thousand and 00/100 Dollars ($750,000.00) (the “Initial Long-Term Equity Award”). The Initial Long-Term Equity Award shall be subject to the terms of the Equity Incentive Plan. Fifty percent (50%) of the Long-Term Equity Award will be in the form of restricted stock units (the “Restricted Stock Units”) and the remaining fifty percent (50%) of the Long-Term Equity Award will be in the form of options to purchase the Company’s common stock (the “Stock Options”). In accordance with the terms of the applicable award agreement for the Restricted Stock Units, one-half (1/2) of the Restricted Stock Units shall vest in December 2022, and the remaining one-half (1/2) shall vest in December 2023. The Stock Options shall vest over a three (3) year vesting period. In accordance with the terms of the applicable award agreement for the Stock Options, one -third (1/3) of the Stock Options shall vest in December 2021, one-third (1/3) of the Stock Options shall vest in December 2022, and one-third (1/3) of the Stock Options shall vest in December 2023.</w:t>
        <w:br/>
        <w:t>(c) 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 xml:space="preserve">  3</w:t>
        <w:br/>
        <w:t>(d) 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 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 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 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 Termination. This Agreement and the Executive’s employment with the Company may be terminated in accordance with any of the following provisions.</w:t>
        <w:br/>
        <w:t>(a) 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 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w:t>
        <w:br/>
        <w:t xml:space="preserve">  4</w:t>
        <w:br/>
        <w:t>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 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 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 xml:space="preserve">    (i)</w:t>
        <w:br/>
        <w:t>a material diminution in the Executive’s duties/responsibilities; or</w:t>
        <w:br/>
        <w:t xml:space="preserve">    (ii)</w:t>
        <w:br/>
        <w:t>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 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w:t>
        <w:br/>
        <w:t xml:space="preserve">  5</w:t>
        <w:br/>
        <w:t>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 Obligations of the Company Upon Termination.</w:t>
        <w:br/>
        <w:t>(a) 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 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 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 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 Severance equal to the sum of: (a) two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twenty-four (24) month period in accordance with the Company’s regular payroll practices and subject to all customary withholding and deductions.</w:t>
        <w:br/>
        <w:t xml:space="preserve">  6</w:t>
        <w:br/>
        <w:t>2. 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twenty-four (24)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twenty-four (24) month anniversary of the Executive’s termination date; and (ii) the date on which the Executive either receives or becomes eligible to receive substantially similar coverage from another employer.</w:t>
        <w:br/>
        <w:t>3. 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 xml:space="preserve">  7</w:t>
        <w:br/>
        <w:t>(b) 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 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and 1⁄2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 xml:space="preserve">  8</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 Non-Disclosure of Confidential Information.</w:t>
        <w:br/>
        <w:t>(a) 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 xml:space="preserve">  9</w:t>
        <w:br/>
        <w:t>(i) 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 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 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 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 xml:space="preserve">  10</w:t>
        <w:br/>
        <w:t>(c) 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 Non-Competition; Non-Solicitation.</w:t>
        <w:br/>
        <w:t>(a) 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 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 xml:space="preserve">  11</w:t>
        <w:br/>
        <w:t>(c) 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 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 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 xml:space="preserve">  12</w:t>
        <w:br/>
        <w:t>9. Intellectual Property.</w:t>
        <w:br/>
        <w:t>(a) 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 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 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 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 xml:space="preserve">  13</w:t>
        <w:br/>
        <w:t>(e) 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 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 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 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 xml:space="preserve">  14</w:t>
        <w:br/>
        <w:t>12. 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 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 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 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 Governing Law; Arbitration.</w:t>
        <w:br/>
        <w:t>(a) Governing Law. This Agreement shall be governed by the laws of the State of Florida, without regard to its choice of law principles, except where federal law applies.</w:t>
        <w:br/>
        <w:t>(b) 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w:t>
        <w:br/>
        <w:t xml:space="preserve">  15</w:t>
        <w:br/>
        <w:t>(the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Xxxx County, Florida for the resolution of such dispute, controversy, or claim.</w:t>
        <w:br/>
        <w:t>17. 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 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 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 xml:space="preserve">  16</w:t>
        <w:br/>
        <w:t>20. 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 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 Amendment. This Agreement may not be amended, supplemented, or modified in whole or in part except by an instrument in writing signed by the Party or Parties against whom enforcement of such amendment, supplement, or modification is sought.</w:t>
        <w:br/>
        <w:t>23. 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Xxxxxxxxxxx, XX 00000</w:t>
        <w:br/>
        <w:t>24. 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w:t>
        <w:br/>
        <w:t xml:space="preserve">  17</w:t>
        <w:br/>
        <w:t>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 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 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 xml:space="preserve">  18</w:t>
        <w:br/>
        <w:t>[Remainder of this page intentionally left blank; signatures follow.]</w:t>
        <w:br/>
        <w:t xml:space="preserve">  19</w:t>
        <w:br/>
        <w:t>IN WITNESS WHEREOF, the Parties have executed this Agreement as of the date first above written.</w:t>
        <w:br/>
        <w:t xml:space="preserve">  COMPANY</w:t>
        <w:br/>
        <w:t>TRULIEVE CANNABIS CORP.</w:t>
        <w:br/>
        <w:t>By:   /s/ Xxx Xxxxxx</w:t>
        <w:br/>
        <w:t>Name: Xxx Xxxxxx</w:t>
        <w:br/>
        <w:t>Title: CEO</w:t>
        <w:br/>
        <w:t xml:space="preserve">  EXECUTIVE</w:t>
        <w:br/>
        <w:t>/s/ Xxxx Xxxxxx</w:t>
        <w:br/>
        <w:t>Xxxx Xxxxxx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