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Certain information in this document has been omitted and filed separately with the Securities and Exchange Commission. Confidential treatment has been requested with respect to the omitted portions.</w:t>
        <w:br/>
        <w:t>MANUFACTURING AND SUPPLY AGREEMENT</w:t>
        <w:br/>
        <w:t>This Manufacturing and Supply Agreement (“Agreement”) is entered into as of September 18th, 2013 (“Effective Date”) by and between ViewRay Incorporated, a Delaware corporation (“ViewRay”), and Japan Superconductor Technology, Inc., a corporation organized under the laws of Japan (“Jastec”). ViewRay and Jastec may each be referred to hereafter as a “party” or collectively as the “parties.”</w:t>
        <w:br/>
        <w:t>Background</w:t>
        <w:br/>
        <w:t>ViewRay possesses valuable knowledge, expertise, intellectual properties and resources with regard to high performance radiation oncology devices. Jastec possesses valuable knowledge, expertise, intellectual properties and resources with regard to the fabrication of superconducting magnets for imaging applications.</w:t>
        <w:br/>
        <w:t>ViewRay wishes to engage Jastec manufacture and supply it with a superconducting magnet that meets certain agreed technical specifications for incorporation into ViewRay’s MRI-guided radiation therapy system. Jastec is willing to manufacture and supply ViewRay quantities of such magnets.</w:t>
        <w:br/>
        <w:t>NOW THEREFORE, in consideration of the mutual promises contained in this Agreement, and for other good and valuable consideration, the receipt, adequacy and sufficiency of which are hereby acknowledged,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