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10.293</w:t>
        <w:br/>
        <w:t>CERTAIN MATERIAL (INDICATED BY AN ASTERISK) HAS BEEN OMITTED FROM THIS DOCUMENT PURSUANT TO A REQUEST FOR CONFIDENTIAL TREATMENT. THE OMITTED MATERIAL HAS BEEN FILED SEPARATELY WITH THE SECURITIES AND EXCHANGE COMMISSION.</w:t>
        <w:br/>
        <w:t>FIRST AMENDMENT TO THE</w:t>
        <w:br/>
        <w:t>MANUFACTURING AND PACKAGING AGREEMENT BETWEEN</w:t>
        <w:br/>
        <w:t>CARDINAL HEALTH PTS, LLC</w:t>
        <w:br/>
        <w:t>AND</w:t>
        <w:br/>
        <w:t>LIGAND PHARMACEUTICALS INCORPORATED</w:t>
        <w:br/>
        <w:t xml:space="preserve">          THIS FIRST AMENDMENT (the “Amendment”) to the Manufacturing and Packaging Agreement dated 13 February 2004 (the “Agreement”), is made and entered into on this                      day of May, 2006, between Ligand Pharmaceuticals Incorporated (“Ligand”) and Cardinal Health PTS, LLC (“Cardinal Health”). Capitalized terms used but not defined herein shall have the meanings ascribed to them in the Agreement.</w:t>
        <w:br/>
        <w:t xml:space="preserve">          WHEREAS, Ligand and Cardinal Health are parties to the Agreement, pursuant to which Cardinal Health manufactures AVINZA for Ligand at certain agreed upon initial prices, subject to adjustment as set forth therein and with certain minimum orders;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