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i w:val="false"/>
          <w:iCs w:val="false"/>
          <w:color w:val="1A1A1A"/>
          <w:sz w:val="40"/>
          <w:szCs w:val="40"/>
        </w:rPr>
        <w:t xml:space="preserve">Applied AI / ML Engineering</w:t>
      </w:r>
    </w:p>
    <w:p>
      <w:pPr>
        <w:pBdr>
          <w:bottom w:val="single" w:color="2E6CA6" w:sz="12" w:space="6"/>
        </w:pBdr>
        <w:spacing w:after="220"/>
      </w:pPr>
      <w:r>
        <w:rPr>
          <w:b w:val="false"/>
          <w:bCs w:val="false"/>
          <w:i w:val="false"/>
          <w:iCs w:val="false"/>
          <w:color w:val="2E6CA6"/>
          <w:sz w:val="26"/>
          <w:szCs w:val="26"/>
        </w:rPr>
        <w:t xml:space="preserve">Take-Home Assignment — Submission Template</w:t>
      </w:r>
    </w:p>
    <w:p>
      <w:pPr>
        <w:spacing w:after="200" w:before="0"/>
      </w:pPr>
      <w:r>
        <w:rPr>
          <w:b w:val="false"/>
          <w:bCs w:val="false"/>
          <w:i w:val="false"/>
          <w:iCs w:val="false"/>
          <w:color w:val="44505C"/>
          <w:sz w:val="22"/>
          <w:szCs w:val="22"/>
        </w:rPr>
        <w:t xml:space="preserve">Replace every [ bracketed placeholder ] and every dashed box with your own content. Do not delete or rename the section headers — graders read against them. Keep prose tight; we score evidence, not adjectives.</w:t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Candidate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Field</w:t>
            </w:r>
          </w:p>
        </w:tc>
        <w:tc>
          <w:tcPr>
            <w:tcW w:type="dxa" w:w="64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Your entry</w:t>
            </w:r>
          </w:p>
        </w:tc>
      </w:tr>
      <w:tr>
        <w:tc>
          <w:tcPr>
            <w:tcW w:type="dxa" w:w="29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Full name</w:t>
            </w:r>
          </w:p>
        </w:tc>
        <w:tc>
          <w:tcPr>
            <w:tcW w:type="dxa" w:w="64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Mohit Yadav</w:t>
            </w:r>
          </w:p>
        </w:tc>
      </w:tr>
      <w:tr>
        <w:tc>
          <w:tcPr>
            <w:tcW w:type="dxa" w:w="29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64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mohityadav55199@gmail.com</w:t>
            </w:r>
          </w:p>
        </w:tc>
      </w:tr>
      <w:tr>
        <w:tc>
          <w:tcPr>
            <w:tcW w:type="dxa" w:w="29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Date submitted</w:t>
            </w:r>
          </w:p>
        </w:tc>
        <w:tc>
          <w:tcPr>
            <w:tcW w:type="dxa" w:w="64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2026-10-18</w:t>
            </w:r>
          </w:p>
        </w:tc>
      </w:tr>
      <w:tr>
        <w:tc>
          <w:tcPr>
            <w:tcW w:type="dxa" w:w="29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Repository link</w:t>
            </w:r>
          </w:p>
        </w:tc>
        <w:tc>
          <w:tcPr>
            <w:tcW w:type="dxa" w:w="64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https://github.com/Mohityadav55199/SynergyLabs_Assignment</w:t>
            </w:r>
          </w:p>
        </w:tc>
      </w:tr>
      <w:tr>
        <w:tc>
          <w:tcPr>
            <w:tcW w:type="dxa" w:w="29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Total time spent</w:t>
            </w:r>
          </w:p>
        </w:tc>
        <w:tc>
          <w:tcPr>
            <w:tcW w:type="dxa" w:w="64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[ candidate to fill in ]</w:t>
            </w:r>
          </w:p>
        </w:tc>
      </w:tr>
      <w:tr>
        <w:tc>
          <w:tcPr>
            <w:tcW w:type="dxa" w:w="29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Problem 1 — vector store chosen</w:t>
            </w:r>
          </w:p>
        </w:tc>
        <w:tc>
          <w:tcPr>
            <w:tcW w:type="dxa" w:w="64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LanceDB (primary), embedded Qdrant benchmarked as a second store</w:t>
            </w:r>
          </w:p>
        </w:tc>
      </w:tr>
      <w:tr>
        <w:tc>
          <w:tcPr>
            <w:tcW w:type="dxa" w:w="29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Problem 2 — judge model / generator model</w:t>
            </w:r>
          </w:p>
        </w:tc>
        <w:tc>
          <w:tcPr>
            <w:tcW w:type="dxa" w:w="64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[ Problem 2 not part of this submission ]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How to use this template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problem has five parts: architecture, setup, evaluation results, design decisions, and a subtask-evidence/reflection section.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 numbers must be reproducible from your repo. State every assumption inline; an unexplained number scores zero.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Use “N/A” only with a one-line reason. Diagrams and screenshots can be pasted directly into the dashed boxes.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reflection sections must be written in your own words, without AI assistance — that is the point of them.</w:t>
      </w:r>
    </w:p>
    <w:p>
      <w:pPr>
        <w:pageBreakBefore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2E6CA6" w:sz="8" w:space="4"/>
        </w:pBdr>
        <w:spacing w:after="160" w:before="240"/>
      </w:pPr>
      <w:r>
        <w:rPr>
          <w:b/>
          <w:bCs/>
          <w:i w:val="false"/>
          <w:iCs w:val="false"/>
          <w:color w:val="1A1A1A"/>
          <w:sz w:val="30"/>
          <w:szCs w:val="30"/>
        </w:rPr>
        <w:t xml:space="preserve">Problem 1 — Cost-Efficient RAG Application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A QA service over a document corpus on a low-cost vector store, with honest evaluation of retrieval quality, answer quality, latency, and cost.</w:t>
      </w:r>
    </w:p>
    <w:p>
      <w:pPr>
        <w:pStyle w:val="Heading2"/>
        <w:spacing w:after="100" w:before="220"/>
      </w:pPr>
      <w:r>
        <w:rPr>
          <w:b/>
          <w:bCs/>
          <w:i w:val="false"/>
          <w:iCs w:val="false"/>
          <w:color w:val="2E6CA6"/>
          <w:sz w:val="25"/>
          <w:szCs w:val="25"/>
        </w:rPr>
        <w:t xml:space="preserve">1.1  Architecture Diagram / Flowchart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Paste your own diagram. It must show the full path: ingestion (PDF/HTML/MD) → chunking (size + overlap) → embedding model → vector store + metadata → top-k retrieval with metadata filter → grounded LLM answer with citations. Mark where the “no relevant context” branch goes.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30"/>
            </w:pPr>
            <w:r>
              <w:rPr>
                <w:rFonts w:ascii="Consolas" w:hAnsi="Consolas"/>
                <w:b w:val="false"/>
                <w:bCs w:val="false"/>
                <w:i/>
                <w:iCs/>
                <w:color w:val="7A7A7A"/>
                <w:sz w:val="16"/>
                <w:szCs w:val="20"/>
              </w:rPr>
              <w:t>INGESTION (idempotent)</w:t>
              <w:br/>
              <w:t xml:space="preserve">  PDF / HTML / MD --&gt; parse (pypdf / BeautifulSoup / text)</w:t>
              <w:br/>
              <w:t xml:space="preserve">     --&gt; chunk: recursive, size 500 chars, overlap 50 (configurable)</w:t>
              <w:br/>
              <w:t xml:space="preserve">     --&gt; fingerprint = SHA-256(doc_id, chunk_index, text)</w:t>
              <w:br/>
              <w:t xml:space="preserve">     --&gt; already stored? --yes--&gt; SKIP (no duplicate vector)</w:t>
              <w:br/>
              <w:t xml:space="preserve">                         --no---&gt; embed: BAAI/bge-small-en-v1.5, 384-d, local ONNX</w:t>
              <w:br/>
              <w:t xml:space="preserve">     --&gt; LanceDB (primary) / Qdrant embedded: vector + text + metadata {format, doc_id, filename, section}</w:t>
              <w:br/>
              <w:br/>
              <w:t>QUERY</w:t>
              <w:br/>
              <w:t xml:space="preserve">  POST /query or CLI --&gt; embed query --&gt; top-k cosine search (+ metadata filter on format|doc_id|filename|section)</w:t>
              <w:br/>
              <w:t xml:space="preserve">     --&gt; best score &gt;= SIMILARITY_THRESHOLD (0.68)?</w:t>
              <w:br/>
              <w:t xml:space="preserve">           NO  --&gt; *** NO RELEVANT CONTEXT branch ***: fixed refusal, LLM NOT called, 0 tokens, no citations</w:t>
              <w:br/>
              <w:t xml:space="preserve">           YES --&gt; grounded prompt (numbered chunks) --&gt; Groq qwen/qwen3.8-27b, temp 0</w:t>
              <w:br/>
              <w:t xml:space="preserve">                   --&gt; answer with [Chunk-N] citations (only cited chunks returned)</w:t>
              <w:br/>
              <w:t xml:space="preserve">                       + per-query log: latency (embed/search/gen/total), chunk count, token usage</w:t>
              <w:br/>
              <w:t xml:space="preserve">                   (LLM down --&gt; labelled extractive fallback, never scored as an LLM answer)</w:t>
              <w:br/>
              <w:t>(Mermaid version of this diagram: README section 1)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b/>
          <w:bCs/>
          <w:i w:val="false"/>
          <w:iCs w:val="false"/>
          <w:color w:val="2E6CA6"/>
          <w:sz w:val="25"/>
          <w:szCs w:val="25"/>
        </w:rPr>
        <w:t xml:space="preserve">1.2  Setup &amp; Run Instructions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Anyone on our team should clone and run this in under ~10 minutes. Give exact, copy-pasteable commands.</w:t>
      </w:r>
    </w:p>
    <w:p>
      <w:pPr>
        <w:spacing w:after="9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Prerequisites  </w:t>
      </w:r>
      <w:r>
        <w:rPr>
          <w:b w:val="false"/>
          <w:bCs w:val="false"/>
          <w:i/>
          <w:iCs/>
          <w:color w:val="7A7A7A"/>
          <w:sz w:val="22"/>
          <w:szCs w:val="22"/>
        </w:rPr>
        <w:t>Python 3.11+ (tested on 3.14), Windows 11 / Linux, no GPU, ~1 GB disk, internet for the first embedding-model download and for the Groq API.</w:t>
      </w:r>
    </w:p>
    <w:p>
      <w:pPr>
        <w:spacing w:after="9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Environment variables  </w:t>
      </w:r>
      <w:r>
        <w:rPr>
          <w:b w:val="false"/>
          <w:bCs w:val="false"/>
          <w:i/>
          <w:iCs/>
          <w:color w:val="7A7A7A"/>
          <w:sz w:val="22"/>
          <w:szCs w:val="22"/>
        </w:rPr>
        <w:t>GROQ_API_KEY, GROQ_MODEL, JUDGE_MODEL, DEFAULT_VECTOR_STORE, LANCEDB_DIR, QDRANT_DIR, EMBEDDING_MODEL, EMBEDDING_DIM, DEFAULT_CHUNK_SIZE, DEFAULT_CHUNK_OVERLAP, MAX_UPLOAD_MB, CORPUS_DIR, SIMILARITY_THRESHOLD, HOST, PORT, CORS_ORIGINS, ADMIN_TOKEN (see .env.example).</w:t>
      </w:r>
    </w:p>
    <w:p>
      <w:pPr>
        <w:spacing w:after="40" w:before="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Install: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1F3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55162"/>
                <w:sz w:val="18"/>
                <w:szCs w:val="19"/>
              </w:rPr>
              <w:t>git clone https://github.com/Mohityadav55199/SynergyLabs_Assignment.git &amp;&amp; cd SynergyLabs_Assignment</w:t>
              <w:br/>
              <w:t>python -m venv venv &amp;&amp; source venv/bin/activate      # Windows: .\venv\Scripts\activate</w:t>
              <w:br/>
              <w:t>pip install -r requirements-dev.txt</w:t>
              <w:br/>
              <w:t>cp .env.example .env                                  # set GROQ_API_KEY</w:t>
              <w:br/>
              <w:t>python -m pytest tests                                # 53 tests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Ingest a corpus: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1F3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55162"/>
                <w:sz w:val="18"/>
                <w:szCs w:val="19"/>
              </w:rPr>
              <w:t># defaults: chunk size 500 chars, overlap 50 chars</w:t>
              <w:br/>
              <w:t>python -m src.cli ingest --store lancedb              # ingests data/corpus (PDF, HTML, MD)</w:t>
              <w:br/>
              <w:t>python -m src.cli ingest --store lancedb --chunk-size 400 --overlap 40</w:t>
              <w:br/>
              <w:t>python -m src.cli ingest --store lancedb              # run again: Newly inserted 0, Duplicates skipped 100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Run a query (HTTP endpoint or CLI):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1F3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55162"/>
                <w:sz w:val="18"/>
                <w:szCs w:val="19"/>
              </w:rPr>
              <w:t>python -m src.cli query "What is the memory overhead per vector for an HNSW index?" --k 4 --filter format=pdf</w:t>
              <w:br/>
              <w:t>python -m src.cli serve   # then:</w:t>
              <w:br/>
              <w:t>curl -s localhost:8000/query -H 'content-type: application/json' \</w:t>
              <w:br/>
              <w:t xml:space="preserve">  -d '{"query":"What is HNSW and what recall does it provide?","top_k":4,"metadata_filter":{"format":"pdf"}}'</w:t>
              <w:br/>
              <w:t># live: https://cost-efficient-rag-service.onrender.com/docs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9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Vector store chosen + one-line why  </w:t>
      </w:r>
      <w:r>
        <w:rPr>
          <w:b w:val="false"/>
          <w:bCs w:val="false"/>
          <w:i/>
          <w:iCs/>
          <w:color w:val="7A7A7A"/>
          <w:sz w:val="22"/>
          <w:szCs w:val="22"/>
        </w:rPr>
        <w:t>LanceDB: an embedded library over files, so zero idle compute and no server to pay for, with metadata filtering and IVF_PQ for scale.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b/>
          <w:bCs/>
          <w:i w:val="false"/>
          <w:iCs w:val="false"/>
          <w:color w:val="2E6CA6"/>
          <w:sz w:val="25"/>
          <w:szCs w:val="25"/>
        </w:rPr>
        <w:t xml:space="preserve">1.3  Evaluation Results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Use your fixed set of 15–30 questions. Fill in real numbers in every cell.</w:t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1.3.1  Retrieval metrics</w:t>
      </w:r>
    </w:p>
    <w:p>
      <w:pPr>
        <w:spacing w:after="9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k used  </w:t>
      </w:r>
      <w:r>
        <w:rPr>
          <w:b w:val="false"/>
          <w:bCs w:val="false"/>
          <w:i/>
          <w:iCs/>
          <w:color w:val="7A7A7A"/>
          <w:sz w:val="22"/>
          <w:szCs w:val="22"/>
        </w:rPr>
        <w:t>k = 4 (25 answerable questions of 30; 6 documents / 100 chunks; unfiltered search)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4000"/>
      </w:tblGrid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Value</w:t>
            </w:r>
          </w:p>
        </w:tc>
        <w:tc>
          <w:tcPr>
            <w:tcW w:type="dxa" w:w="4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How computed / notes</w:t>
            </w:r>
          </w:p>
        </w:tc>
      </w:tr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Recall@k / Hit Rate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Hit Rate 0.92 / Recall 0.88</w:t>
            </w:r>
          </w:p>
        </w:tc>
        <w:tc>
          <w:tcPr>
            <w:tcW w:type="dxa" w:w="4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Hit = any relevant chunk in top 4 (23/25). Recall = relevant retrieved / ALL relevant chunks in the corpus. Misses: q10, q19.</w:t>
            </w:r>
          </w:p>
        </w:tc>
      </w:tr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MRR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0.7967</w:t>
            </w:r>
          </w:p>
        </w:tc>
        <w:tc>
          <w:tcPr>
            <w:tcW w:type="dxa" w:w="4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mean of 1/rank of first relevant chunk (0 if none in top 4)</w:t>
            </w:r>
          </w:p>
        </w:tc>
      </w:tr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nDCG@k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0.8056</w:t>
            </w:r>
          </w:p>
        </w:tc>
        <w:tc>
          <w:tcPr>
            <w:tcW w:type="dxa" w:w="4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binary gain; ideal DCG places all relevant chunks (up to k) first, so &lt;= 1 (the original harness reported 1.64: a bug, fixed)</w:t>
            </w:r>
          </w:p>
        </w:tc>
      </w:tr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Context precision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0.7967</w:t>
            </w:r>
          </w:p>
        </w:tc>
        <w:tc>
          <w:tcPr>
            <w:tcW w:type="dxa" w:w="4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Relevant chunk = from the target file AND contains the question's hand-picked evidence phrase, computed over the whole corpus with the ingestion chunker. Context precision is rank-aware (RAGAS definition). Qdrant gives identical numbers (both exact cosine search).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1.3.2  Answer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400"/>
        <w:gridCol w:w="2560"/>
      </w:tblGrid>
      <w:tr>
        <w:tc>
          <w:tcPr>
            <w:tcW w:type="dxa" w:w="28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Score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Method</w:t>
            </w:r>
          </w:p>
        </w:tc>
        <w:tc>
          <w:tcPr>
            <w:tcW w:type="dxa" w:w="25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Faithfulness / groundedness</w:t>
            </w:r>
          </w:p>
        </w:tc>
        <w:tc>
          <w:tcPr>
            <w:tcW w:type="dxa" w:w="16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PENDING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LLM-judge ]</w:t>
            </w:r>
          </w:p>
        </w:tc>
        <w:tc>
          <w:tcPr>
            <w:tcW w:type="dxa" w:w="25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PENDING: needs GROQ_API_KEY (see README 6.4)</w:t>
            </w:r>
          </w:p>
        </w:tc>
      </w:tr>
      <w:tr>
        <w:tc>
          <w:tcPr>
            <w:tcW w:type="dxa" w:w="28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Answer relevance</w:t>
            </w:r>
          </w:p>
        </w:tc>
        <w:tc>
          <w:tcPr>
            <w:tcW w:type="dxa" w:w="16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PENDING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LLM-judge ]</w:t>
            </w:r>
          </w:p>
        </w:tc>
        <w:tc>
          <w:tcPr>
            <w:tcW w:type="dxa" w:w="25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PENDING: needs GROQ_API_KEY (see README 6.4)</w:t>
            </w:r>
          </w:p>
        </w:tc>
      </w:tr>
      <w:tr>
        <w:tc>
          <w:tcPr>
            <w:tcW w:type="dxa" w:w="28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EM</w:t>
            </w:r>
          </w:p>
        </w:tc>
        <w:tc>
          <w:tcPr>
            <w:tcW w:type="dxa" w:w="16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PENDING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gold ]</w:t>
            </w:r>
          </w:p>
        </w:tc>
        <w:tc>
          <w:tcPr>
            <w:tcW w:type="dxa" w:w="25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PENDING: needs GROQ_API_KEY (see README 6.4)</w:t>
            </w:r>
          </w:p>
        </w:tc>
      </w:tr>
      <w:tr>
        <w:tc>
          <w:tcPr>
            <w:tcW w:type="dxa" w:w="28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F1</w:t>
            </w:r>
          </w:p>
        </w:tc>
        <w:tc>
          <w:tcPr>
            <w:tcW w:type="dxa" w:w="16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PENDING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gold ]</w:t>
            </w:r>
          </w:p>
        </w:tc>
        <w:tc>
          <w:tcPr>
            <w:tcW w:type="dxa" w:w="25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PENDING: needs GROQ_API_KEY (see README 6.4)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1.3.3  Cost comparison across scale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Monthly cost for your store vs a managed vector DB. State pricing assumptions in the box below the 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c>
          <w:tcPr>
            <w:tcW w:type="dxa" w:w="21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Vectors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Your store ($/mo)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Managed DB ($/mo)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Savings / notes</w:t>
            </w:r>
          </w:p>
        </w:tc>
      </w:tr>
      <w:tr>
        <w:tc>
          <w:tcPr>
            <w:tcW w:type="dxa" w:w="21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100K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$0.04 marginal on an existing host ($0.01 S3-only); $24.57 on a dedicated t4g.medium VM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$50.00 (Pinecone Standard minimum); Qdrant Cloud free 1 GB tier = $0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saving is ~$50 vs the Pinecone minimum, or ~$25 if a VM must be provisioned</w:t>
            </w:r>
          </w:p>
        </w:tc>
      </w:tr>
      <w:tr>
        <w:tc>
          <w:tcPr>
            <w:tcW w:type="dxa" w:w="21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1M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$0.40 marginal ($0.08 S3-only); $49.46 dedicated t4g.large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$50.00 (Pinecone Standard minimum); Qdrant Cloud: no public rate card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with a dedicated VM the saving is ~$0.5; marginal saving ~$50</w:t>
            </w:r>
          </w:p>
        </w:tc>
      </w:tr>
      <w:tr>
        <w:tc>
          <w:tcPr>
            <w:tcW w:type="dxa" w:w="21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10M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$3.96 marginal ($0.76 S3-only); $53.02 dedicated VM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$50.00 (Pinecone minimum; storage+reads ~$14 stay under it)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dedicated VM costs MORE than Pinecone's minimum at 10M; only the shared-host case is cheaper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18"/>
                <w:szCs w:val="20"/>
              </w:rPr>
              <w:t>384-d float32 (1,536 B) + ~1 KB chunk text/metadata = 2.5 KB/vector; x1.3 index overhead. ~15,000 queries/month (~500/day). Pinecone Standard: $50/month minimum, $0.33/GB-month storage, $16-18 per M read units, $4-4.5 per M write units (pinecone.io/pricing, retrieved 2026-10-18; read-unit sizing from Pinecone docs, unverified). EC2 t4g.medium $24.53 / t4g.large $49.06 per month (third-party aggregator, us-east-1 on-demand). EBS gp3 $0.08 and S3 Standard $0.023 per GB-month, 1.5x disk headroom. Embeddings are local (free). LLM cost is identical on both sides and excluded. Single node, no replication. Excludes engineer time. Full model with sources: evaluation/cost_analysis.md (python -m evaluation.cost_model).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1.3.4  Latency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4000"/>
      </w:tblGrid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Value (ms)</w:t>
            </w:r>
          </w:p>
        </w:tc>
        <w:tc>
          <w:tcPr>
            <w:tcW w:type="dxa" w:w="4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Notes / conditions</w:t>
            </w:r>
          </w:p>
        </w:tc>
      </w:tr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Retrieval p50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9.92 (100 chunks) / 27.95 (100K, IVF_PQ) / 597.52 (100K, flat)</w:t>
            </w:r>
          </w:p>
        </w:tc>
        <w:tc>
          <w:tcPr>
            <w:tcW w:type="dxa" w:w="4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LanceDB, k=4, warm, 150 samples (100 chunks); 100K row: synthetic vectors, 100 queries, laptop CPU. Query embedding is separate: p50 8.67 ms.</w:t>
            </w:r>
          </w:p>
        </w:tc>
      </w:tr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Retrieval p95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21.52 (100 chunks) / 40.72 (100K, IVF_PQ) / 680.55 (100K, flat)</w:t>
            </w:r>
          </w:p>
        </w:tc>
        <w:tc>
          <w:tcPr>
            <w:tcW w:type="dxa" w:w="4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Query embedding p95 16.9 ms. Qdrant local on 100 chunks: p50 1.1, p95 1.95 ms.</w:t>
            </w:r>
          </w:p>
        </w:tc>
      </w:tr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End-to-end p95 (optional)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PENDING</w:t>
            </w:r>
          </w:p>
        </w:tc>
        <w:tc>
          <w:tcPr>
            <w:tcW w:type="dxa" w:w="4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PENDING: needs GROQ_API_KEY (see README 6.4)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b/>
          <w:bCs/>
          <w:i w:val="false"/>
          <w:iCs w:val="false"/>
          <w:color w:val="2E6CA6"/>
          <w:sz w:val="25"/>
          <w:szCs w:val="25"/>
        </w:rPr>
        <w:t xml:space="preserve">1.4  Design Decisions &amp; Trade-offs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One short paragraph per prompt. Be specific about what you tried and rejected.</w:t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Why this vector store over the others on the list?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>The brief's cost problem is always-on pods. LanceDB is a library over files, so an idle index costs only disk, and it supports metadata filters and IVF_PQ. pgvector needs a running Postgres (the always-on cost we avoid, though it wins if Postgres already exists); FAISS has no filtering/persistence; Chroma works but I wanted control over the on-disk format; sqlite-vec is brute-force only. Embedded Qdrant is benchmarked as the second store: identical retrieval (both exact cosine), faster on 100 chunks, but its local mode is brute-force numpy, not HNSW.</w:t>
            </w:r>
          </w:p>
        </w:tc>
      </w:tr>
    </w:tbl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Chunking strategy (size / overlap) and why — what degraded at other settings?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>Default 500 chars / 50 overlap, recursive splitter (paragraph, line, sentence, word) so chunks end on sentence boundaries. Measured (README 6.3): 200/20 and 500/0 are worse (hit 0.88, MRR 0.72-0.75); 350-800 are on par; 1200/120 scored higher (hit 1.00, MRR 0.92). I did not adopt it because my relevance labels reward large chunks, k=4 x 1200 chars is ~4x the prompt tokens, and the corpus is tiny. The default is a defensible middle, not a tuned optimum; it should be re-tuned on the real corpus with the answer layer.</w:t>
            </w:r>
          </w:p>
        </w:tc>
      </w:tr>
    </w:tbl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Embedding model + dimensionality, and the cost/quality trade-off behind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>BAAI/bge-small-en-v1.5, 384-d, run locally via ONNX: $0 per embedding, ~9 ms/query on CPU, 1.5 KB/vector. Larger models (768-1024-d) cost 2-3x the storage/RAM and CPU for gains I did not measure; a hosted embedding API would add per-token cost and a network hop. Weakness seen: generic RAG vocabulary confuses it (q10).</w:t>
            </w:r>
          </w:p>
        </w:tc>
      </w:tr>
    </w:tbl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How you handle “no relevant context” without hallucinating.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>Two layers. (1) Similarity gate before the LLM: if the best chunk's cosine score is &lt; 0.68 the service returns a fixed refusal, calls no LLM and uses 0 tokens. Tuned on the eval set: answerable top-1 &gt;= 0.726, unanswerable &lt;= 0.713, so it blocks 4/5 unanswerable questions; the near-domain one (0.713) is not separable. (2) The prompt tells the model to answer only from numbered chunks, cite [Chunk-N], and otherwise emit the exact refusal sentence, at temperature 0; refusals carry no citations. If the LLM is down, a labelled verbatim passage is returned, never a made-up answer.</w:t>
            </w:r>
          </w:p>
        </w:tc>
      </w:tr>
    </w:tbl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Idempotent re-ingest: how do you guarantee no duplicate vectors?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>Each chunk is fingerprinted with SHA-256(doc_id, chunk_index, text), where doc_id is derived from the file's content hash. Before embedding, existing hashes are read from the store and matching chunks are skipped, so a re-run embeds nothing and inserts nothing (100 chunks -&gt; 100 stored -&gt; still 100). A hash-read failure raises instead of returning an empty set (which would silently re-insert everything). An edited file gets a new doc_id and its old vectors are deleted, so stale text cannot be retrieved. Writes are serialised with a lock. Tested on both stores.</w:t>
            </w:r>
          </w:p>
        </w:tc>
      </w:tr>
    </w:tbl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Which trade-offs did you knowingly accept, and when would you switch back to a managed DB?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>Accepted: single node and no replication; one writer at a time (file lock); an ANN index is mandatory past ~50K vectors (flat scan was 598 ms p50 at 100K); I own ops; local Qdrant is brute-force. I would switch back to managed when (a) sustained QPS/p99 needs a replicated in-memory index, (b) several services must write to one index, (c) a contractual availability SLA is required, or (d) the index is small and nobody owns ops, since Pinecone's $50 minimum (or Qdrant's free tier) is then cheaper than the engineering time.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b/>
          <w:bCs/>
          <w:i w:val="false"/>
          <w:iCs w:val="false"/>
          <w:color w:val="2E6CA6"/>
          <w:sz w:val="25"/>
          <w:szCs w:val="25"/>
        </w:rPr>
        <w:t xml:space="preserve">1.5  Subtask Evidence &amp; Reflection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Mandatory. This section is how we confirm the work is yours. Submissions without it are marked incomplete. Write the reflection answers without AI assistance.</w:t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Screenshot — end-to-end query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Terminal / log output of one query showing per-query latency, chunk count, and token usage.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 paste screenshot ]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Screenshot — idempotent re-ingest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Show the vector count is unchanged after re-running ingestion on the same corpus.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hAnsi="Consolas"/>
                <w:b w:val="false"/>
                <w:bCs w:val="false"/>
                <w:i/>
                <w:iCs/>
                <w:color w:val="7A7A7A"/>
                <w:sz w:val="18"/>
                <w:szCs w:val="20"/>
              </w:rPr>
              <w:t>$ python -m src.cli ingest --store lancedb      (first run, empty index)</w:t>
              <w:br/>
              <w:t>Total chunks generated: 100 | Newly inserted chunks: 100 | Duplicates skipped: 0</w:t>
              <w:br/>
              <w:t>$ python -m src.cli ingest --store lancedb      (second run, same corpus)</w:t>
              <w:br/>
              <w:t>Total chunks generated: 100 | Newly inserted chunks: 0   | Duplicates skipped: 100 (Idempotent)</w:t>
              <w:br/>
              <w:t>$ python -m src.cli stats --store lancedb</w:t>
              <w:br/>
              <w:t xml:space="preserve">  total_chunks: 100</w:t>
              <w:br/>
              <w:t>(Same on --store qdrant. Also asserted in tests/test_stores.py and tests/test_api.py.)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Walk through one query (your own words)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From HTTP request to cited answer — what happens at each hop? Write this without AI help.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 your answer ]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Something that broke first time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One thing that did not work initially and exactly how you debugged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 your answer ]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AI usage disclosure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Which AI tools you used and for what; which parts are entirely your own.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 your answer ]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ageBreakBefore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2E6CA6" w:sz="8" w:space="4"/>
        </w:pBdr>
        <w:spacing w:after="160" w:before="240"/>
      </w:pPr>
      <w:r>
        <w:rPr>
          <w:b/>
          <w:bCs/>
          <w:i w:val="false"/>
          <w:iCs w:val="false"/>
          <w:color w:val="1A1A1A"/>
          <w:sz w:val="30"/>
          <w:szCs w:val="30"/>
        </w:rPr>
        <w:t xml:space="preserve">Problem 2 — LLM-as-Judge Evaluation Pipeline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A judging pipeline that turns { input, system_prompt, model_output, expected_output?, criteria? } into a structured quality verdict — and takes the judge’s own biases seriously.</w:t>
      </w:r>
    </w:p>
    <w:p>
      <w:pPr>
        <w:pStyle w:val="Heading2"/>
        <w:spacing w:after="100" w:before="220"/>
      </w:pPr>
      <w:r>
        <w:rPr>
          <w:b/>
          <w:bCs/>
          <w:i w:val="false"/>
          <w:iCs w:val="false"/>
          <w:color w:val="2E6CA6"/>
          <w:sz w:val="25"/>
          <w:szCs w:val="25"/>
        </w:rPr>
        <w:t xml:space="preserve">2.1  Architecture Diagram / Flowchart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Paste your own diagram. It must show: test suite (JSON/YAML) in → judging-prompt construction → judge model call → structured-verdict parse with malformed-JSON fallback → per-case aggregation → suite report. Mark where bias mitigations (e.g. A/B order swap) sit in the flow.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 Paste your pipeline diagram here. ]</w:t>
            </w:r>
          </w:p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Show where the position-bias order-swap and verdict-parsing fallback live.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b/>
          <w:bCs/>
          <w:i w:val="false"/>
          <w:iCs w:val="false"/>
          <w:color w:val="2E6CA6"/>
          <w:sz w:val="25"/>
          <w:szCs w:val="25"/>
        </w:rPr>
        <w:t xml:space="preserve">2.2  Setup &amp; Run Instructions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Anyone on our team should clone and run this in under ~10 minutes. Give exact, copy-pasteable commands.</w:t>
      </w:r>
    </w:p>
    <w:p>
      <w:pPr>
        <w:spacing w:after="9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Prerequisites  </w:t>
      </w:r>
      <w:r>
        <w:rPr>
          <w:b w:val="false"/>
          <w:bCs w:val="false"/>
          <w:i/>
          <w:iCs/>
          <w:color w:val="7A7A7A"/>
          <w:sz w:val="22"/>
          <w:szCs w:val="22"/>
        </w:rPr>
        <w:t xml:space="preserve">[ runtime + version, OS, services, hardware assumptions ]</w:t>
      </w:r>
    </w:p>
    <w:p>
      <w:pPr>
        <w:spacing w:after="9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Environment variables  </w:t>
      </w:r>
      <w:r>
        <w:rPr>
          <w:b w:val="false"/>
          <w:bCs w:val="false"/>
          <w:i/>
          <w:iCs/>
          <w:color w:val="7A7A7A"/>
          <w:sz w:val="22"/>
          <w:szCs w:val="22"/>
        </w:rPr>
        <w:t xml:space="preserve">[ list every var — names only, no secret values committed anywhere ]</w:t>
      </w:r>
    </w:p>
    <w:p>
      <w:pPr>
        <w:spacing w:after="40" w:before="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Install: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1F3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55162"/>
                <w:sz w:val="19"/>
                <w:szCs w:val="19"/>
              </w:rPr>
              <w:t xml:space="preserve"># [ replace with your install commands 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55162"/>
                <w:sz w:val="19"/>
                <w:szCs w:val="19"/>
              </w:rPr>
              <w:t xml:space="preserve">git clone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55162"/>
                <w:sz w:val="19"/>
                <w:szCs w:val="19"/>
              </w:rPr>
              <w:t xml:space="preserve">...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Run a suite → produce a report: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1F3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55162"/>
                <w:sz w:val="19"/>
                <w:szCs w:val="19"/>
              </w:rPr>
              <w:t xml:space="preserve"># [ command: suite file in, structured report out ]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Run an A/B comparison: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1F3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55162"/>
                <w:sz w:val="19"/>
                <w:szCs w:val="19"/>
              </w:rPr>
              <w:t xml:space="preserve"># [ command comparing two configs (prompt v1 vs v2, or model A vs B) ]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9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Judge &amp; generator configured independently?  </w:t>
      </w:r>
      <w:r>
        <w:rPr>
          <w:b w:val="false"/>
          <w:bCs w:val="false"/>
          <w:i/>
          <w:iCs/>
          <w:color w:val="7A7A7A"/>
          <w:sz w:val="22"/>
          <w:szCs w:val="22"/>
        </w:rPr>
        <w:t xml:space="preserve">[ how — e.g. separate config keys / env vars ]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b/>
          <w:bCs/>
          <w:i w:val="false"/>
          <w:iCs w:val="false"/>
          <w:color w:val="2E6CA6"/>
          <w:sz w:val="25"/>
          <w:szCs w:val="25"/>
        </w:rPr>
        <w:t xml:space="preserve">2.3  Evaluation Results</w:t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2.3.1  Judging mode &amp; rubric</w:t>
      </w:r>
    </w:p>
    <w:p>
      <w:pPr>
        <w:spacing w:after="9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Judging mode used  </w:t>
      </w:r>
      <w:r>
        <w:rPr>
          <w:b w:val="false"/>
          <w:bCs w:val="false"/>
          <w:i/>
          <w:iCs/>
          <w:color w:val="7A7A7A"/>
          <w:sz w:val="22"/>
          <w:szCs w:val="22"/>
        </w:rPr>
        <w:t xml:space="preserve">[ pointwise / pairwise A-vs-B / reference-based / reference-free ]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Your explicit rubric — not a bare number. Add or remove criteria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c>
          <w:tcPr>
            <w:tcW w:type="dxa" w:w="28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Criterion</w:t>
            </w:r>
          </w:p>
        </w:tc>
        <w:tc>
          <w:tcPr>
            <w:tcW w:type="dxa" w:w="45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Definition / score anchors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28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Correctness</w:t>
            </w:r>
          </w:p>
        </w:tc>
        <w:tc>
          <w:tcPr>
            <w:tcW w:type="dxa" w:w="45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</w:tr>
      <w:tr>
        <w:tc>
          <w:tcPr>
            <w:tcW w:type="dxa" w:w="28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Faithfulness</w:t>
            </w:r>
          </w:p>
        </w:tc>
        <w:tc>
          <w:tcPr>
            <w:tcW w:type="dxa" w:w="45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</w:tr>
      <w:tr>
        <w:tc>
          <w:tcPr>
            <w:tcW w:type="dxa" w:w="28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Completeness</w:t>
            </w:r>
          </w:p>
        </w:tc>
        <w:tc>
          <w:tcPr>
            <w:tcW w:type="dxa" w:w="45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</w:tr>
      <w:tr>
        <w:tc>
          <w:tcPr>
            <w:tcW w:type="dxa" w:w="28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Instruction-following</w:t>
            </w:r>
          </w:p>
        </w:tc>
        <w:tc>
          <w:tcPr>
            <w:tcW w:type="dxa" w:w="45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</w:tr>
      <w:tr>
        <w:tc>
          <w:tcPr>
            <w:tcW w:type="dxa" w:w="28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Tone / safety</w:t>
            </w:r>
          </w:p>
        </w:tc>
        <w:tc>
          <w:tcPr>
            <w:tcW w:type="dxa" w:w="45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2.3.2  Bias handling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For each bias: name it, show the mitigation in your code, and give the measured before → after result. This is the heart of the problem.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60"/>
        <w:gridCol w:w="3300"/>
      </w:tblGrid>
      <w:tr>
        <w:tc>
          <w:tcPr>
            <w:tcW w:type="dxa" w:w="23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Bias</w:t>
            </w:r>
          </w:p>
        </w:tc>
        <w:tc>
          <w:tcPr>
            <w:tcW w:type="dxa" w:w="37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Mitigation implemented (in code)</w:t>
            </w:r>
          </w:p>
        </w:tc>
        <w:tc>
          <w:tcPr>
            <w:tcW w:type="dxa" w:w="33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Metric &amp; result (before → after)</w:t>
            </w:r>
          </w:p>
        </w:tc>
      </w:tr>
      <w:tr>
        <w:tc>
          <w:tcPr>
            <w:tcW w:type="dxa" w:w="23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Position (A/B order)</w:t>
            </w:r>
          </w:p>
        </w:tc>
        <w:tc>
          <w:tcPr>
            <w:tcW w:type="dxa" w:w="37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run both orders; average / require agreement ]</w:t>
            </w:r>
          </w:p>
        </w:tc>
        <w:tc>
          <w:tcPr>
            <w:tcW w:type="dxa" w:w="33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flip rate: __% → __% ]</w:t>
            </w:r>
          </w:p>
        </w:tc>
      </w:tr>
      <w:tr>
        <w:tc>
          <w:tcPr>
            <w:tcW w:type="dxa" w:w="23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Verbosity / length</w:t>
            </w:r>
          </w:p>
        </w:tc>
        <w:tc>
          <w:tcPr>
            <w:tcW w:type="dxa" w:w="37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length control / padded-answer probe ]</w:t>
            </w:r>
          </w:p>
        </w:tc>
        <w:tc>
          <w:tcPr>
            <w:tcW w:type="dxa" w:w="33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</w:tr>
      <w:tr>
        <w:tc>
          <w:tcPr>
            <w:tcW w:type="dxa" w:w="23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Self-enhancement</w:t>
            </w:r>
          </w:p>
        </w:tc>
        <w:tc>
          <w:tcPr>
            <w:tcW w:type="dxa" w:w="37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judge from a different model family / ensemble ]</w:t>
            </w:r>
          </w:p>
        </w:tc>
        <w:tc>
          <w:tcPr>
            <w:tcW w:type="dxa" w:w="33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</w:tr>
      <w:tr>
        <w:tc>
          <w:tcPr>
            <w:tcW w:type="dxa" w:w="23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Sycophancy / style</w:t>
            </w:r>
          </w:p>
        </w:tc>
        <w:tc>
          <w:tcPr>
            <w:tcW w:type="dxa" w:w="37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per-criterion grounding; confidently-wrong probe ]</w:t>
            </w:r>
          </w:p>
        </w:tc>
        <w:tc>
          <w:tcPr>
            <w:tcW w:type="dxa" w:w="33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</w:tr>
      <w:tr>
        <w:tc>
          <w:tcPr>
            <w:tcW w:type="dxa" w:w="23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Score clustering</w:t>
            </w:r>
          </w:p>
        </w:tc>
        <w:tc>
          <w:tcPr>
            <w:tcW w:type="dxa" w:w="37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few-shot anchors / switch to pairwise ]</w:t>
            </w:r>
          </w:p>
        </w:tc>
        <w:tc>
          <w:tcPr>
            <w:tcW w:type="dxa" w:w="33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score spread: __ → __ ]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2.3.3  Judge validation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At least one of these, with evidence — not claims.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4000"/>
      </w:tblGrid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Result</w:t>
            </w:r>
          </w:p>
        </w:tc>
        <w:tc>
          <w:tcPr>
            <w:tcW w:type="dxa" w:w="4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Agreement with human / gold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% ]</w:t>
            </w:r>
          </w:p>
        </w:tc>
        <w:tc>
          <w:tcPr>
            <w:tcW w:type="dxa" w:w="4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sample size ]</w:t>
            </w:r>
          </w:p>
        </w:tc>
      </w:tr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Cohen’s kappa / correlation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  <w:tc>
          <w:tcPr>
            <w:tcW w:type="dxa" w:w="4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</w:tr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Test-retest flip rate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% ]</w:t>
            </w:r>
          </w:p>
        </w:tc>
        <w:tc>
          <w:tcPr>
            <w:tcW w:type="dxa" w:w="4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re-runs at temp = ? ]</w:t>
            </w:r>
          </w:p>
        </w:tc>
      </w:tr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Adversarial probe outcome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fooled? Y/N ]</w:t>
            </w:r>
          </w:p>
        </w:tc>
        <w:tc>
          <w:tcPr>
            <w:tcW w:type="dxa" w:w="4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verbose-but-wrong / terse-but-correct ]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2.3.4  A/B comparison &amp; declared winner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Config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Pass rate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Mean score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Win rate</w:t>
            </w:r>
          </w:p>
        </w:tc>
      </w:tr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Config A — [ name ]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</w:tr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Config B — [ name ]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</w:tr>
    </w:tbl>
    <w:p>
      <w:pPr>
        <w:spacing w:after="9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Declared winner + one-line justification  </w:t>
      </w:r>
      <w:r>
        <w:rPr>
          <w:b w:val="false"/>
          <w:bCs w:val="false"/>
          <w:i/>
          <w:iCs/>
          <w:color w:val="7A7A7A"/>
          <w:sz w:val="22"/>
          <w:szCs w:val="22"/>
        </w:rPr>
        <w:t xml:space="preserve">[ ... ]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b/>
          <w:bCs/>
          <w:i w:val="false"/>
          <w:iCs w:val="false"/>
          <w:color w:val="2E6CA6"/>
          <w:sz w:val="25"/>
          <w:szCs w:val="25"/>
        </w:rPr>
        <w:t xml:space="preserve">2.4  Design Decisions &amp; Trade-offs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One short paragraph per prompt.</w:t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Which judging mode did you pick, and why does it fit this case?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 your answer ]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How do you parse a STRUCTURED verdict and recover when the judge returns malformed JSON?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 your answer ]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Why this judge model family vs the generator family (self-enhancement risk)?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 your answer ]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Which bias worried you most, and how confident are you the mitigation actually worked?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 your answer ]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Would you let this judge gate a release? Under what guardrails — and where would you keep a human in the loop?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 your answer ]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b/>
          <w:bCs/>
          <w:i w:val="false"/>
          <w:iCs w:val="false"/>
          <w:color w:val="2E6CA6"/>
          <w:sz w:val="25"/>
          <w:szCs w:val="25"/>
        </w:rPr>
        <w:t xml:space="preserve">2.5  Subtask Evidence &amp; Reflection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Mandatory. This section is how we confirm the work is yours. Submissions without it are marked incomplete. Write the reflection answers without AI assistance.</w:t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Screenshot — auditable prompt + response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A raw judge prompt paired with its raw response, pulled from your logs.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 paste screenshot ]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Screenshot — position-bias result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Same pair scored in both orders, with the flip rate.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 paste screenshot ]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Explain your position-bias check (your own words)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How does it work, and what would a high flip rate tell you? Write without AI help.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 your answer ]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Adversarial probe outcome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Show the verdict on a verbose-but-wrong or terse-but-correct probe. Did the judge get fooled?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 paste verdict + your read on it ]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AI usage disclosure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Which AI tools you used and for what; which parts are entirely your own.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 your answer ]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b w:val="false"/>
        <w:bCs w:val="false"/>
        <w:i w:val="false"/>
        <w:iCs w:val="false"/>
        <w:color w:val="7A7A7A"/>
        <w:sz w:val="18"/>
        <w:szCs w:val="18"/>
      </w:rPr>
      <w:t xml:space="preserve">Applied AI / ML Engineering — Submission Template      ·      Page </w:t>
    </w:r>
    <w:r>
      <w:rPr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6CA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7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2026-06-29T08:14:18.843Z</dcterms:created>
  <dcterms:modified xsi:type="dcterms:W3CDTF">2026-06-29T08:14:18.843Z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