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9854A3" w14:textId="77777777" w:rsidR="001C6E22" w:rsidRPr="004A5AD0" w:rsidRDefault="001C6E22">
      <w:pPr>
        <w:pBdr>
          <w:bottom w:val="single" w:sz="6" w:space="0" w:color="1F3864"/>
        </w:pBdr>
        <w:spacing w:after="160"/>
        <w:rPr>
          <w:b/>
          <w:bCs/>
          <w:color w:val="000000" w:themeColor="text1"/>
        </w:rPr>
      </w:pPr>
    </w:p>
    <w:p w14:paraId="47718466" w14:textId="2A7E2147" w:rsidR="001C6E22" w:rsidRPr="004A5AD0" w:rsidRDefault="00000000">
      <w:pPr>
        <w:spacing w:after="120" w:line="276" w:lineRule="auto"/>
        <w:jc w:val="both"/>
        <w:rPr>
          <w:b/>
          <w:bCs/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Paper </w:t>
      </w:r>
      <w:r w:rsidR="004A5AD0" w:rsidRPr="004A5AD0">
        <w:rPr>
          <w:b/>
          <w:bCs/>
          <w:color w:val="000000" w:themeColor="text1"/>
          <w:sz w:val="22"/>
          <w:szCs w:val="22"/>
        </w:rPr>
        <w:t xml:space="preserve">1. </w:t>
      </w:r>
      <w:r w:rsidRPr="004A5AD0">
        <w:rPr>
          <w:b/>
          <w:bCs/>
          <w:i/>
          <w:iCs/>
          <w:color w:val="000000" w:themeColor="text1"/>
        </w:rPr>
        <w:t>From Synthesis to Segmentation: Does GAN-Augmented Data Improve Medical Image Segmentation, and When?</w:t>
      </w:r>
    </w:p>
    <w:p w14:paraId="68F11B63" w14:textId="77777777" w:rsidR="001C6E22" w:rsidRPr="004A5AD0" w:rsidRDefault="00000000">
      <w:pPr>
        <w:spacing w:after="120" w:line="276" w:lineRule="auto"/>
        <w:jc w:val="both"/>
        <w:rPr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Students Involved:  </w:t>
      </w:r>
      <w:r w:rsidRPr="004A5AD0">
        <w:rPr>
          <w:color w:val="000000" w:themeColor="text1"/>
        </w:rPr>
        <w:t>Aastha (various GAN models for medical image synthesis) and Pushkar (various U-Net segmentation variants).</w:t>
      </w:r>
    </w:p>
    <w:p w14:paraId="04B4991C" w14:textId="77777777" w:rsidR="001C6E22" w:rsidRPr="004A5AD0" w:rsidRDefault="00000000">
      <w:pPr>
        <w:spacing w:after="120" w:line="276" w:lineRule="auto"/>
        <w:jc w:val="both"/>
        <w:rPr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Tentative Methodology:  </w:t>
      </w:r>
      <w:r w:rsidRPr="004A5AD0">
        <w:rPr>
          <w:color w:val="000000" w:themeColor="text1"/>
        </w:rPr>
        <w:t>Bind the GAN zoo and the U-Net zoo with a single downstream-utility question rather than reporting two disconnected benchmarks.</w:t>
      </w:r>
    </w:p>
    <w:p w14:paraId="1F62691E" w14:textId="77777777" w:rsidR="001C6E22" w:rsidRPr="004A5AD0" w:rsidRDefault="00000000">
      <w:pPr>
        <w:spacing w:before="60" w:after="40"/>
        <w:rPr>
          <w:color w:val="000000" w:themeColor="text1"/>
        </w:rPr>
      </w:pPr>
      <w:r w:rsidRPr="004A5AD0">
        <w:rPr>
          <w:b/>
          <w:bCs/>
          <w:i/>
          <w:iCs/>
          <w:color w:val="000000" w:themeColor="text1"/>
        </w:rPr>
        <w:t>Pipeline stages</w:t>
      </w:r>
    </w:p>
    <w:p w14:paraId="1D67623E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>Assemble a real segmentation cohort with strict patient-level train/</w:t>
      </w:r>
      <w:proofErr w:type="spellStart"/>
      <w:r w:rsidRPr="004A5AD0">
        <w:rPr>
          <w:color w:val="000000" w:themeColor="text1"/>
        </w:rPr>
        <w:t>val</w:t>
      </w:r>
      <w:proofErr w:type="spellEnd"/>
      <w:r w:rsidRPr="004A5AD0">
        <w:rPr>
          <w:color w:val="000000" w:themeColor="text1"/>
        </w:rPr>
        <w:t>/test splits; synthetic images are restricted to training only and never leak into validation or test.</w:t>
      </w:r>
    </w:p>
    <w:p w14:paraId="22309CCC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 xml:space="preserve">Train multiple GAN families (e.g., DCGAN / StyleGAN / </w:t>
      </w:r>
      <w:proofErr w:type="spellStart"/>
      <w:r w:rsidRPr="004A5AD0">
        <w:rPr>
          <w:color w:val="000000" w:themeColor="text1"/>
        </w:rPr>
        <w:t>CycleGAN</w:t>
      </w:r>
      <w:proofErr w:type="spellEnd"/>
      <w:r w:rsidRPr="004A5AD0">
        <w:rPr>
          <w:color w:val="000000" w:themeColor="text1"/>
        </w:rPr>
        <w:t xml:space="preserve"> / diffusion-adjacent, as implemented) as controlled synthetic-augmentation sources; record synthesis-quality metrics (FID, KID).</w:t>
      </w:r>
    </w:p>
    <w:p w14:paraId="3DFC0165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 xml:space="preserve">Train the U-Net variants (vanilla, Attention U-Net, U-Net++, </w:t>
      </w:r>
      <w:proofErr w:type="spellStart"/>
      <w:r w:rsidRPr="004A5AD0">
        <w:rPr>
          <w:color w:val="000000" w:themeColor="text1"/>
        </w:rPr>
        <w:t>ResU</w:t>
      </w:r>
      <w:proofErr w:type="spellEnd"/>
      <w:r w:rsidRPr="004A5AD0">
        <w:rPr>
          <w:color w:val="000000" w:themeColor="text1"/>
        </w:rPr>
        <w:t>-Net, etc.) as segmentation backbones, each with and without GAN augmentation.</w:t>
      </w:r>
    </w:p>
    <w:p w14:paraId="07CE5DE1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>Evaluate across the GAN × U-Net grid using Dice and HD95; add a low-data-regime axis (e.g., 10/25/50/100% real data) to locate where synthetic data stops helping or begins to hurt.</w:t>
      </w:r>
    </w:p>
    <w:p w14:paraId="12F44095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>Key analysis: test whether GAN realism metrics (FID) actually predict downstream segmentation gain (Dice) — a genuinely open question and the paper's main contribution.</w:t>
      </w:r>
    </w:p>
    <w:p w14:paraId="3F5E3E50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 xml:space="preserve">Ablations: augmentation ratio, image resolution, and augmentation-only vs. mixed </w:t>
      </w:r>
      <w:proofErr w:type="spellStart"/>
      <w:r w:rsidRPr="004A5AD0">
        <w:rPr>
          <w:color w:val="000000" w:themeColor="text1"/>
        </w:rPr>
        <w:t>real+synthetic</w:t>
      </w:r>
      <w:proofErr w:type="spellEnd"/>
      <w:r w:rsidRPr="004A5AD0">
        <w:rPr>
          <w:color w:val="000000" w:themeColor="text1"/>
        </w:rPr>
        <w:t xml:space="preserve"> training.</w:t>
      </w:r>
    </w:p>
    <w:p w14:paraId="1D896705" w14:textId="26772A00" w:rsidR="001C6E22" w:rsidRPr="004A5AD0" w:rsidRDefault="00000000">
      <w:pPr>
        <w:spacing w:after="120" w:line="276" w:lineRule="auto"/>
        <w:jc w:val="both"/>
        <w:rPr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Tentative Dataset:  </w:t>
      </w:r>
      <w:r w:rsidRPr="004A5AD0">
        <w:rPr>
          <w:color w:val="000000" w:themeColor="text1"/>
        </w:rPr>
        <w:t xml:space="preserve">A real, publicly available segmentation cohort with patient-level splits — e.g., </w:t>
      </w:r>
      <w:proofErr w:type="spellStart"/>
      <w:r w:rsidR="004A5AD0" w:rsidRPr="004A5AD0">
        <w:rPr>
          <w:color w:val="000000" w:themeColor="text1"/>
        </w:rPr>
        <w:t>Upenn</w:t>
      </w:r>
      <w:proofErr w:type="spellEnd"/>
      <w:r w:rsidR="004A5AD0" w:rsidRPr="004A5AD0">
        <w:rPr>
          <w:color w:val="000000" w:themeColor="text1"/>
        </w:rPr>
        <w:t xml:space="preserve">, </w:t>
      </w:r>
      <w:proofErr w:type="spellStart"/>
      <w:r w:rsidRPr="004A5AD0">
        <w:rPr>
          <w:color w:val="000000" w:themeColor="text1"/>
        </w:rPr>
        <w:t>BraTS</w:t>
      </w:r>
      <w:proofErr w:type="spellEnd"/>
      <w:r w:rsidRPr="004A5AD0">
        <w:rPr>
          <w:color w:val="000000" w:themeColor="text1"/>
        </w:rPr>
        <w:t xml:space="preserve"> (glioma MRI segmentation), or an organ/lesion set such as the Medical Segmentation Decathlon tasks or ISIC (skin-lesion) depending on Aastha's synthesis modality. All GAN training and augmentation confined to the training partition.</w:t>
      </w:r>
    </w:p>
    <w:p w14:paraId="3B41EA22" w14:textId="77777777" w:rsidR="001C6E22" w:rsidRPr="004A5AD0" w:rsidRDefault="00000000">
      <w:pPr>
        <w:rPr>
          <w:color w:val="000000" w:themeColor="text1"/>
        </w:rPr>
      </w:pPr>
      <w:r w:rsidRPr="004A5AD0">
        <w:rPr>
          <w:color w:val="000000" w:themeColor="text1"/>
        </w:rPr>
        <w:br w:type="page"/>
      </w:r>
    </w:p>
    <w:p w14:paraId="5E13CF7C" w14:textId="094BCE0E" w:rsidR="001C6E22" w:rsidRPr="004A5AD0" w:rsidRDefault="00000000">
      <w:pPr>
        <w:spacing w:after="120" w:line="276" w:lineRule="auto"/>
        <w:jc w:val="both"/>
        <w:rPr>
          <w:b/>
          <w:bCs/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lastRenderedPageBreak/>
        <w:t xml:space="preserve">Paper </w:t>
      </w:r>
      <w:r w:rsidR="004A5AD0" w:rsidRPr="004A5AD0">
        <w:rPr>
          <w:b/>
          <w:bCs/>
          <w:color w:val="000000" w:themeColor="text1"/>
          <w:sz w:val="22"/>
          <w:szCs w:val="22"/>
        </w:rPr>
        <w:t>2</w:t>
      </w:r>
      <w:r w:rsidRPr="004A5AD0">
        <w:rPr>
          <w:b/>
          <w:bCs/>
          <w:color w:val="000000" w:themeColor="text1"/>
          <w:sz w:val="22"/>
          <w:szCs w:val="22"/>
        </w:rPr>
        <w:t xml:space="preserve">:  </w:t>
      </w:r>
      <w:r w:rsidRPr="004A5AD0">
        <w:rPr>
          <w:b/>
          <w:bCs/>
          <w:i/>
          <w:iCs/>
          <w:color w:val="000000" w:themeColor="text1"/>
        </w:rPr>
        <w:t>When Does Quantum Help Medical Image Segmentation? A Rigorous Characterization Against Strong Classical Baselines.</w:t>
      </w:r>
    </w:p>
    <w:p w14:paraId="390BAB1A" w14:textId="77777777" w:rsidR="001C6E22" w:rsidRPr="004A5AD0" w:rsidRDefault="00000000">
      <w:pPr>
        <w:spacing w:after="120" w:line="276" w:lineRule="auto"/>
        <w:jc w:val="both"/>
        <w:rPr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Students Involved:  </w:t>
      </w:r>
      <w:r w:rsidRPr="004A5AD0">
        <w:rPr>
          <w:color w:val="000000" w:themeColor="text1"/>
        </w:rPr>
        <w:t xml:space="preserve">Ayush and Rishita (Quantum Machine Learning) and </w:t>
      </w:r>
      <w:proofErr w:type="spellStart"/>
      <w:r w:rsidRPr="004A5AD0">
        <w:rPr>
          <w:color w:val="000000" w:themeColor="text1"/>
        </w:rPr>
        <w:t>Lateesh</w:t>
      </w:r>
      <w:proofErr w:type="spellEnd"/>
      <w:r w:rsidRPr="004A5AD0">
        <w:rPr>
          <w:color w:val="000000" w:themeColor="text1"/>
        </w:rPr>
        <w:t xml:space="preserve"> (modern segmentation suite — </w:t>
      </w:r>
      <w:proofErr w:type="spellStart"/>
      <w:r w:rsidRPr="004A5AD0">
        <w:rPr>
          <w:color w:val="000000" w:themeColor="text1"/>
        </w:rPr>
        <w:t>nnU</w:t>
      </w:r>
      <w:proofErr w:type="spellEnd"/>
      <w:r w:rsidRPr="004A5AD0">
        <w:rPr>
          <w:color w:val="000000" w:themeColor="text1"/>
        </w:rPr>
        <w:t xml:space="preserve">-Net, </w:t>
      </w:r>
      <w:proofErr w:type="spellStart"/>
      <w:r w:rsidRPr="004A5AD0">
        <w:rPr>
          <w:color w:val="000000" w:themeColor="text1"/>
        </w:rPr>
        <w:t>MedNeXt</w:t>
      </w:r>
      <w:proofErr w:type="spellEnd"/>
      <w:r w:rsidRPr="004A5AD0">
        <w:rPr>
          <w:color w:val="000000" w:themeColor="text1"/>
        </w:rPr>
        <w:t xml:space="preserve">, Swin UNETR, </w:t>
      </w:r>
      <w:proofErr w:type="spellStart"/>
      <w:r w:rsidRPr="004A5AD0">
        <w:rPr>
          <w:color w:val="000000" w:themeColor="text1"/>
        </w:rPr>
        <w:t>SegResNet</w:t>
      </w:r>
      <w:proofErr w:type="spellEnd"/>
      <w:r w:rsidRPr="004A5AD0">
        <w:rPr>
          <w:color w:val="000000" w:themeColor="text1"/>
        </w:rPr>
        <w:t xml:space="preserve">, STAPLE-fusion </w:t>
      </w:r>
      <w:proofErr w:type="spellStart"/>
      <w:r w:rsidRPr="004A5AD0">
        <w:rPr>
          <w:color w:val="000000" w:themeColor="text1"/>
        </w:rPr>
        <w:t>ensembling</w:t>
      </w:r>
      <w:proofErr w:type="spellEnd"/>
      <w:r w:rsidRPr="004A5AD0">
        <w:rPr>
          <w:color w:val="000000" w:themeColor="text1"/>
        </w:rPr>
        <w:t>, threshold-search post-processing, radiomics-guided adaptive pre/post-processing, cross-cohort fine-tuning, specialized models, longitudinal post-treatment segmentation).</w:t>
      </w:r>
    </w:p>
    <w:p w14:paraId="0FAFE33C" w14:textId="77777777" w:rsidR="001C6E22" w:rsidRPr="004A5AD0" w:rsidRDefault="00000000">
      <w:pPr>
        <w:spacing w:after="120" w:line="276" w:lineRule="auto"/>
        <w:jc w:val="both"/>
        <w:rPr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Tentative Methodology:  </w:t>
      </w:r>
      <w:r w:rsidRPr="004A5AD0">
        <w:rPr>
          <w:color w:val="000000" w:themeColor="text1"/>
        </w:rPr>
        <w:t xml:space="preserve">Use </w:t>
      </w:r>
      <w:proofErr w:type="spellStart"/>
      <w:r w:rsidRPr="004A5AD0">
        <w:rPr>
          <w:color w:val="000000" w:themeColor="text1"/>
        </w:rPr>
        <w:t>Lateesh's</w:t>
      </w:r>
      <w:proofErr w:type="spellEnd"/>
      <w:r w:rsidRPr="004A5AD0">
        <w:rPr>
          <w:color w:val="000000" w:themeColor="text1"/>
        </w:rPr>
        <w:t xml:space="preserve"> suite as a genuine state-of-the-art classical ceiling and honestly characterize where a quantum (or hybrid quantum-classical) component helps, matches, or collapses against it.</w:t>
      </w:r>
    </w:p>
    <w:p w14:paraId="69AD1FA7" w14:textId="77777777" w:rsidR="001C6E22" w:rsidRPr="004A5AD0" w:rsidRDefault="00000000">
      <w:pPr>
        <w:spacing w:before="60" w:after="40"/>
        <w:rPr>
          <w:color w:val="000000" w:themeColor="text1"/>
        </w:rPr>
      </w:pPr>
      <w:r w:rsidRPr="004A5AD0">
        <w:rPr>
          <w:b/>
          <w:bCs/>
          <w:i/>
          <w:iCs/>
          <w:color w:val="000000" w:themeColor="text1"/>
        </w:rPr>
        <w:t>Pipeline stages</w:t>
      </w:r>
    </w:p>
    <w:p w14:paraId="31A445FA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b/>
          <w:bCs/>
          <w:color w:val="000000" w:themeColor="text1"/>
        </w:rPr>
        <w:t xml:space="preserve">Scope </w:t>
      </w:r>
      <w:proofErr w:type="spellStart"/>
      <w:r w:rsidRPr="004A5AD0">
        <w:rPr>
          <w:b/>
          <w:bCs/>
          <w:color w:val="000000" w:themeColor="text1"/>
        </w:rPr>
        <w:t>Lateesh's</w:t>
      </w:r>
      <w:proofErr w:type="spellEnd"/>
      <w:r w:rsidRPr="004A5AD0">
        <w:rPr>
          <w:b/>
          <w:bCs/>
          <w:color w:val="000000" w:themeColor="text1"/>
        </w:rPr>
        <w:t xml:space="preserve"> classical ceiling to a defensible core</w:t>
      </w:r>
      <w:r w:rsidRPr="004A5AD0">
        <w:rPr>
          <w:color w:val="000000" w:themeColor="text1"/>
        </w:rPr>
        <w:t xml:space="preserve"> — recommend locking 3–4 components (</w:t>
      </w:r>
      <w:proofErr w:type="spellStart"/>
      <w:r w:rsidRPr="004A5AD0">
        <w:rPr>
          <w:color w:val="000000" w:themeColor="text1"/>
        </w:rPr>
        <w:t>nnU</w:t>
      </w:r>
      <w:proofErr w:type="spellEnd"/>
      <w:r w:rsidRPr="004A5AD0">
        <w:rPr>
          <w:color w:val="000000" w:themeColor="text1"/>
        </w:rPr>
        <w:t>-Net, Swin UNETR, STAPLE fusion, radiomics-guided post-processing) rather than all ten, so the quantum comparison stays the focus.</w:t>
      </w:r>
    </w:p>
    <w:p w14:paraId="061D486A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>Establish the strong classical baseline on a real cohort with proper cross-validation; report Dice / HD95 as the reference ceiling.</w:t>
      </w:r>
    </w:p>
    <w:p w14:paraId="2C6FADA7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>Introduce a well-scoped quantum module (e.g., a variational quantum circuit operating on ROI patches or on a reduced latent representation) rather than attempting full quantum segmentation.</w:t>
      </w:r>
    </w:p>
    <w:p w14:paraId="53659A69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>Ablate the quantum component: qubit budget {4,6,8,10}, encoding dimension, entanglement pattern, and patch size — to locate where information collapses through the encoding bottleneck.</w:t>
      </w:r>
    </w:p>
    <w:p w14:paraId="7BE19791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>Add a data-regime axis and an information-bottleneck / linear-probe analysis to quantify discriminative loss before vs. after the quantum encoding.</w:t>
      </w:r>
    </w:p>
    <w:p w14:paraId="18808552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b/>
          <w:bCs/>
          <w:color w:val="000000" w:themeColor="text1"/>
        </w:rPr>
        <w:t xml:space="preserve">Fairness controls: </w:t>
      </w:r>
      <w:r w:rsidRPr="004A5AD0">
        <w:rPr>
          <w:color w:val="000000" w:themeColor="text1"/>
        </w:rPr>
        <w:t>match training budget and parameter counts between quantum and classical arms; report compute cost. Frame honest negative or conditional results as the contribution.</w:t>
      </w:r>
    </w:p>
    <w:p w14:paraId="15876725" w14:textId="77777777" w:rsidR="001C6E22" w:rsidRPr="004A5AD0" w:rsidRDefault="00000000">
      <w:pPr>
        <w:spacing w:after="120" w:line="276" w:lineRule="auto"/>
        <w:jc w:val="both"/>
        <w:rPr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Tentative Dataset:  </w:t>
      </w:r>
      <w:r w:rsidRPr="004A5AD0">
        <w:rPr>
          <w:color w:val="000000" w:themeColor="text1"/>
        </w:rPr>
        <w:t xml:space="preserve">A real segmentation cohort compatible with </w:t>
      </w:r>
      <w:proofErr w:type="spellStart"/>
      <w:r w:rsidRPr="004A5AD0">
        <w:rPr>
          <w:color w:val="000000" w:themeColor="text1"/>
        </w:rPr>
        <w:t>Lateesh's</w:t>
      </w:r>
      <w:proofErr w:type="spellEnd"/>
      <w:r w:rsidRPr="004A5AD0">
        <w:rPr>
          <w:color w:val="000000" w:themeColor="text1"/>
        </w:rPr>
        <w:t xml:space="preserve"> suite — </w:t>
      </w:r>
      <w:proofErr w:type="spellStart"/>
      <w:r w:rsidRPr="004A5AD0">
        <w:rPr>
          <w:color w:val="000000" w:themeColor="text1"/>
        </w:rPr>
        <w:t>BraTS</w:t>
      </w:r>
      <w:proofErr w:type="spellEnd"/>
      <w:r w:rsidRPr="004A5AD0">
        <w:rPr>
          <w:color w:val="000000" w:themeColor="text1"/>
        </w:rPr>
        <w:t xml:space="preserve"> (multi-institutional glioma MRI) is the natural choice given its multi-site heterogeneity and support for STAPLE fusion and longitudinal/post-treatment analysis. Cross-cohort fine-tuning can draw on a second source (e.g., UPENN-GBM or UCSF-PDGM).</w:t>
      </w:r>
    </w:p>
    <w:p w14:paraId="068CAD71" w14:textId="77777777" w:rsidR="001C6E22" w:rsidRPr="004A5AD0" w:rsidRDefault="00000000">
      <w:pPr>
        <w:rPr>
          <w:color w:val="000000" w:themeColor="text1"/>
        </w:rPr>
      </w:pPr>
      <w:r w:rsidRPr="004A5AD0">
        <w:rPr>
          <w:color w:val="000000" w:themeColor="text1"/>
        </w:rPr>
        <w:br w:type="page"/>
      </w:r>
    </w:p>
    <w:p w14:paraId="6FFAE63E" w14:textId="0F0BAF85" w:rsidR="001C6E22" w:rsidRPr="004A5AD0" w:rsidRDefault="00000000">
      <w:pPr>
        <w:spacing w:after="120" w:line="276" w:lineRule="auto"/>
        <w:jc w:val="both"/>
        <w:rPr>
          <w:b/>
          <w:bCs/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lastRenderedPageBreak/>
        <w:t xml:space="preserve">Paper </w:t>
      </w:r>
      <w:r w:rsidR="004A5AD0" w:rsidRPr="004A5AD0">
        <w:rPr>
          <w:b/>
          <w:bCs/>
          <w:color w:val="000000" w:themeColor="text1"/>
          <w:sz w:val="22"/>
          <w:szCs w:val="22"/>
        </w:rPr>
        <w:t>3</w:t>
      </w:r>
      <w:r w:rsidRPr="004A5AD0">
        <w:rPr>
          <w:b/>
          <w:bCs/>
          <w:color w:val="000000" w:themeColor="text1"/>
          <w:sz w:val="22"/>
          <w:szCs w:val="22"/>
        </w:rPr>
        <w:t xml:space="preserve">:  </w:t>
      </w:r>
      <w:r w:rsidRPr="004A5AD0">
        <w:rPr>
          <w:b/>
          <w:bCs/>
          <w:i/>
          <w:iCs/>
          <w:color w:val="000000" w:themeColor="text1"/>
        </w:rPr>
        <w:t>Trustworthy Clinical Prediction: Feature Engineering, Calibration, and Explainability for Heterogeneous Medical Data.</w:t>
      </w:r>
    </w:p>
    <w:p w14:paraId="075FDEB9" w14:textId="77777777" w:rsidR="001C6E22" w:rsidRPr="004A5AD0" w:rsidRDefault="00000000">
      <w:pPr>
        <w:spacing w:after="120" w:line="276" w:lineRule="auto"/>
        <w:jc w:val="both"/>
        <w:rPr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Students Involved:  </w:t>
      </w:r>
      <w:r w:rsidRPr="004A5AD0">
        <w:rPr>
          <w:color w:val="000000" w:themeColor="text1"/>
        </w:rPr>
        <w:t xml:space="preserve">Anuj &amp; Krishna (Data Preprocessing &amp; Feature Engineering), Kashish &amp; </w:t>
      </w:r>
      <w:proofErr w:type="spellStart"/>
      <w:r w:rsidRPr="004A5AD0">
        <w:rPr>
          <w:color w:val="000000" w:themeColor="text1"/>
        </w:rPr>
        <w:t>Aryanka</w:t>
      </w:r>
      <w:proofErr w:type="spellEnd"/>
      <w:r w:rsidRPr="004A5AD0">
        <w:rPr>
          <w:color w:val="000000" w:themeColor="text1"/>
        </w:rPr>
        <w:t xml:space="preserve"> (Basic &amp; Advanced ML models), and Arun &amp; Arjun (Deep &amp; Advanced Deep Learning — uncertainty and explainability components).</w:t>
      </w:r>
    </w:p>
    <w:p w14:paraId="03F01EFA" w14:textId="77777777" w:rsidR="001C6E22" w:rsidRPr="004A5AD0" w:rsidRDefault="00000000">
      <w:pPr>
        <w:spacing w:after="120" w:line="276" w:lineRule="auto"/>
        <w:jc w:val="both"/>
        <w:rPr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Tentative Methodology:  </w:t>
      </w:r>
      <w:r w:rsidRPr="004A5AD0">
        <w:rPr>
          <w:color w:val="000000" w:themeColor="text1"/>
        </w:rPr>
        <w:t>A single leakage-free pipeline carrying clinical/imaging data from raw features through principled representation learning to a calibrated, explainable classifier — arguing that in medicine the representation and its trustworthiness matter as much as raw accuracy.</w:t>
      </w:r>
    </w:p>
    <w:p w14:paraId="2DE1000A" w14:textId="77777777" w:rsidR="001C6E22" w:rsidRPr="004A5AD0" w:rsidRDefault="00000000">
      <w:pPr>
        <w:spacing w:before="60" w:after="40"/>
        <w:rPr>
          <w:color w:val="000000" w:themeColor="text1"/>
        </w:rPr>
      </w:pPr>
      <w:r w:rsidRPr="004A5AD0">
        <w:rPr>
          <w:b/>
          <w:bCs/>
          <w:i/>
          <w:iCs/>
          <w:color w:val="000000" w:themeColor="text1"/>
        </w:rPr>
        <w:t>Pipeline stages</w:t>
      </w:r>
    </w:p>
    <w:p w14:paraId="2BCB4159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b/>
          <w:bCs/>
          <w:color w:val="000000" w:themeColor="text1"/>
        </w:rPr>
        <w:t xml:space="preserve">Front end (Anuj &amp; Krishna): </w:t>
      </w:r>
      <w:r w:rsidRPr="004A5AD0">
        <w:rPr>
          <w:color w:val="000000" w:themeColor="text1"/>
        </w:rPr>
        <w:t>leakage-free preprocessing, real (not simulated) harmonization across sites, dimensionality reduction (PCA / autoencoder / UMAP), and ensemble feature selection (MI + RFE-LR + RF importance).</w:t>
      </w:r>
    </w:p>
    <w:p w14:paraId="2F96B246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b/>
          <w:bCs/>
          <w:color w:val="000000" w:themeColor="text1"/>
        </w:rPr>
        <w:t xml:space="preserve">Model spine (Kashish &amp; </w:t>
      </w:r>
      <w:proofErr w:type="spellStart"/>
      <w:r w:rsidRPr="004A5AD0">
        <w:rPr>
          <w:b/>
          <w:bCs/>
          <w:color w:val="000000" w:themeColor="text1"/>
        </w:rPr>
        <w:t>Aryanka</w:t>
      </w:r>
      <w:proofErr w:type="spellEnd"/>
      <w:r w:rsidRPr="004A5AD0">
        <w:rPr>
          <w:b/>
          <w:bCs/>
          <w:color w:val="000000" w:themeColor="text1"/>
        </w:rPr>
        <w:t xml:space="preserve">): </w:t>
      </w:r>
      <w:r w:rsidRPr="004A5AD0">
        <w:rPr>
          <w:color w:val="000000" w:themeColor="text1"/>
        </w:rPr>
        <w:t xml:space="preserve">benchmark LR/SVM baselines through Random Forest, </w:t>
      </w:r>
      <w:proofErr w:type="spellStart"/>
      <w:r w:rsidRPr="004A5AD0">
        <w:rPr>
          <w:color w:val="000000" w:themeColor="text1"/>
        </w:rPr>
        <w:t>XGBoost</w:t>
      </w:r>
      <w:proofErr w:type="spellEnd"/>
      <w:r w:rsidRPr="004A5AD0">
        <w:rPr>
          <w:color w:val="000000" w:themeColor="text1"/>
        </w:rPr>
        <w:t xml:space="preserve">, </w:t>
      </w:r>
      <w:proofErr w:type="spellStart"/>
      <w:r w:rsidRPr="004A5AD0">
        <w:rPr>
          <w:color w:val="000000" w:themeColor="text1"/>
        </w:rPr>
        <w:t>LightGBM</w:t>
      </w:r>
      <w:proofErr w:type="spellEnd"/>
      <w:r w:rsidRPr="004A5AD0">
        <w:rPr>
          <w:color w:val="000000" w:themeColor="text1"/>
        </w:rPr>
        <w:t xml:space="preserve">, </w:t>
      </w:r>
      <w:proofErr w:type="spellStart"/>
      <w:r w:rsidRPr="004A5AD0">
        <w:rPr>
          <w:color w:val="000000" w:themeColor="text1"/>
        </w:rPr>
        <w:t>CatBoost</w:t>
      </w:r>
      <w:proofErr w:type="spellEnd"/>
      <w:r w:rsidRPr="004A5AD0">
        <w:rPr>
          <w:color w:val="000000" w:themeColor="text1"/>
        </w:rPr>
        <w:t xml:space="preserve"> and Voting/Stacking ensembles; calibrate the best model via isotonic regression; SHAP for global feature importance.</w:t>
      </w:r>
    </w:p>
    <w:p w14:paraId="4341F116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b/>
          <w:bCs/>
          <w:color w:val="000000" w:themeColor="text1"/>
        </w:rPr>
        <w:t xml:space="preserve">Trustworthiness layer (Arun &amp; Arjun): </w:t>
      </w:r>
      <w:r w:rsidRPr="004A5AD0">
        <w:rPr>
          <w:color w:val="000000" w:themeColor="text1"/>
        </w:rPr>
        <w:t xml:space="preserve">MC-Dropout uncertainty estimation and </w:t>
      </w:r>
      <w:proofErr w:type="spellStart"/>
      <w:r w:rsidRPr="004A5AD0">
        <w:rPr>
          <w:color w:val="000000" w:themeColor="text1"/>
        </w:rPr>
        <w:t>GradCAM</w:t>
      </w:r>
      <w:proofErr w:type="spellEnd"/>
      <w:r w:rsidRPr="004A5AD0">
        <w:rPr>
          <w:color w:val="000000" w:themeColor="text1"/>
        </w:rPr>
        <w:t>++/Attention-Rollout explainability to test whether compact representations preserve calibration and anatomically plausible saliency.</w:t>
      </w:r>
    </w:p>
    <w:p w14:paraId="53CAA1AC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>Evaluate calibration (ECE, Brier, reliability diagrams) alongside accuracy/AUC; run a leave-one-site-out stress test to measure calibration drift under heterogeneity.</w:t>
      </w:r>
    </w:p>
    <w:p w14:paraId="1FA924AB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>Ablate dimensionality, harmonization on/off, and MC passes; summarize on an accuracy–calibration Pareto frontier.</w:t>
      </w:r>
    </w:p>
    <w:p w14:paraId="36F07E27" w14:textId="77777777" w:rsidR="001C6E22" w:rsidRPr="004A5AD0" w:rsidRDefault="00000000">
      <w:pPr>
        <w:spacing w:after="120" w:line="276" w:lineRule="auto"/>
        <w:jc w:val="both"/>
        <w:rPr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Tentative Dataset:  </w:t>
      </w:r>
      <w:r w:rsidRPr="004A5AD0">
        <w:rPr>
          <w:color w:val="000000" w:themeColor="text1"/>
        </w:rPr>
        <w:t xml:space="preserve">A real multi-site clinical/imaging cohort to replace any simulated batch effects or missingness — e.g., a multi-institutional Alzheimer's cohort (ADNI) for the clinical-tabular arm, and </w:t>
      </w:r>
      <w:proofErr w:type="spellStart"/>
      <w:r w:rsidRPr="004A5AD0">
        <w:rPr>
          <w:color w:val="000000" w:themeColor="text1"/>
        </w:rPr>
        <w:t>BraTS</w:t>
      </w:r>
      <w:proofErr w:type="spellEnd"/>
      <w:r w:rsidRPr="004A5AD0">
        <w:rPr>
          <w:color w:val="000000" w:themeColor="text1"/>
        </w:rPr>
        <w:t xml:space="preserve"> or UPENN-GBM site splits where deep imaging features are used. Real site labels are required for the harmonization and leave-one-site-out components.</w:t>
      </w:r>
    </w:p>
    <w:p w14:paraId="43246354" w14:textId="77777777" w:rsidR="001C6E22" w:rsidRPr="004A5AD0" w:rsidRDefault="00000000">
      <w:pPr>
        <w:rPr>
          <w:color w:val="000000" w:themeColor="text1"/>
        </w:rPr>
      </w:pPr>
      <w:r w:rsidRPr="004A5AD0">
        <w:rPr>
          <w:color w:val="000000" w:themeColor="text1"/>
        </w:rPr>
        <w:br w:type="page"/>
      </w:r>
    </w:p>
    <w:p w14:paraId="29A4169F" w14:textId="76FB8115" w:rsidR="001C6E22" w:rsidRPr="004A5AD0" w:rsidRDefault="00000000">
      <w:pPr>
        <w:spacing w:after="120" w:line="276" w:lineRule="auto"/>
        <w:jc w:val="both"/>
        <w:rPr>
          <w:b/>
          <w:bCs/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lastRenderedPageBreak/>
        <w:t xml:space="preserve">Paper </w:t>
      </w:r>
      <w:r w:rsidR="004A5AD0" w:rsidRPr="004A5AD0">
        <w:rPr>
          <w:b/>
          <w:bCs/>
          <w:color w:val="000000" w:themeColor="text1"/>
          <w:sz w:val="22"/>
          <w:szCs w:val="22"/>
        </w:rPr>
        <w:t>4</w:t>
      </w:r>
      <w:r w:rsidRPr="004A5AD0">
        <w:rPr>
          <w:b/>
          <w:bCs/>
          <w:color w:val="000000" w:themeColor="text1"/>
          <w:sz w:val="22"/>
          <w:szCs w:val="22"/>
        </w:rPr>
        <w:t xml:space="preserve">:  </w:t>
      </w:r>
      <w:r w:rsidRPr="004A5AD0">
        <w:rPr>
          <w:b/>
          <w:bCs/>
          <w:i/>
          <w:iCs/>
          <w:color w:val="000000" w:themeColor="text1"/>
        </w:rPr>
        <w:t>Privacy-Preserving Federated Learning for Clinical Text and Records Under Realistic Heterogeneity.</w:t>
      </w:r>
    </w:p>
    <w:p w14:paraId="1704ABAE" w14:textId="77777777" w:rsidR="001C6E22" w:rsidRPr="004A5AD0" w:rsidRDefault="00000000">
      <w:pPr>
        <w:spacing w:after="120" w:line="276" w:lineRule="auto"/>
        <w:jc w:val="both"/>
        <w:rPr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Students Involved:  </w:t>
      </w:r>
      <w:r w:rsidRPr="004A5AD0">
        <w:rPr>
          <w:color w:val="000000" w:themeColor="text1"/>
        </w:rPr>
        <w:t>Ratan &amp; Harshit (Federated Learning) and Shreya, Hussain &amp; Arpit (NLP).</w:t>
      </w:r>
    </w:p>
    <w:p w14:paraId="293AE47D" w14:textId="77777777" w:rsidR="001C6E22" w:rsidRPr="004A5AD0" w:rsidRDefault="00000000">
      <w:pPr>
        <w:spacing w:after="120" w:line="276" w:lineRule="auto"/>
        <w:jc w:val="both"/>
        <w:rPr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Tentative Methodology:  </w:t>
      </w:r>
      <w:r w:rsidRPr="004A5AD0">
        <w:rPr>
          <w:color w:val="000000" w:themeColor="text1"/>
        </w:rPr>
        <w:t xml:space="preserve">Federated learning over distributed clinical text (rather than images or tabular data alone), with a concrete privacy–utility </w:t>
      </w:r>
      <w:proofErr w:type="spellStart"/>
      <w:r w:rsidRPr="004A5AD0">
        <w:rPr>
          <w:color w:val="000000" w:themeColor="text1"/>
        </w:rPr>
        <w:t>tradeoff</w:t>
      </w:r>
      <w:proofErr w:type="spellEnd"/>
      <w:r w:rsidRPr="004A5AD0">
        <w:rPr>
          <w:color w:val="000000" w:themeColor="text1"/>
        </w:rPr>
        <w:t xml:space="preserve"> under genuine non-IID site heterogeneity — a less-crowded niche than federated imaging.</w:t>
      </w:r>
    </w:p>
    <w:p w14:paraId="535C64AD" w14:textId="77777777" w:rsidR="001C6E22" w:rsidRPr="004A5AD0" w:rsidRDefault="00000000">
      <w:pPr>
        <w:spacing w:before="60" w:after="40"/>
        <w:rPr>
          <w:color w:val="000000" w:themeColor="text1"/>
        </w:rPr>
      </w:pPr>
      <w:r w:rsidRPr="004A5AD0">
        <w:rPr>
          <w:b/>
          <w:bCs/>
          <w:i/>
          <w:iCs/>
          <w:color w:val="000000" w:themeColor="text1"/>
        </w:rPr>
        <w:t>Pipeline stages</w:t>
      </w:r>
    </w:p>
    <w:p w14:paraId="1A8F35D0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b/>
          <w:bCs/>
          <w:color w:val="000000" w:themeColor="text1"/>
        </w:rPr>
        <w:t xml:space="preserve">Text modality (Shreya, Hussain &amp; Arpit): </w:t>
      </w:r>
      <w:r w:rsidRPr="004A5AD0">
        <w:rPr>
          <w:color w:val="000000" w:themeColor="text1"/>
        </w:rPr>
        <w:t>clinical-text encoder and a hierarchical multi-label classification task (ties to ICD-style coding structure).</w:t>
      </w:r>
    </w:p>
    <w:p w14:paraId="031034CC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b/>
          <w:bCs/>
          <w:color w:val="000000" w:themeColor="text1"/>
        </w:rPr>
        <w:t xml:space="preserve">Federation (Ratan &amp; Harshit): </w:t>
      </w:r>
      <w:r w:rsidRPr="004A5AD0">
        <w:rPr>
          <w:color w:val="000000" w:themeColor="text1"/>
        </w:rPr>
        <w:t>construct genuine non-IID partitions (label skew + quantity skew) across clients; document each client's distribution.</w:t>
      </w:r>
    </w:p>
    <w:p w14:paraId="1FC62D7C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 xml:space="preserve">Federated training: </w:t>
      </w:r>
      <w:proofErr w:type="spellStart"/>
      <w:r w:rsidRPr="004A5AD0">
        <w:rPr>
          <w:color w:val="000000" w:themeColor="text1"/>
        </w:rPr>
        <w:t>FedAvg</w:t>
      </w:r>
      <w:proofErr w:type="spellEnd"/>
      <w:r w:rsidRPr="004A5AD0">
        <w:rPr>
          <w:color w:val="000000" w:themeColor="text1"/>
        </w:rPr>
        <w:t xml:space="preserve"> baseline plus at least one heterogeneity-robust method (</w:t>
      </w:r>
      <w:proofErr w:type="spellStart"/>
      <w:r w:rsidRPr="004A5AD0">
        <w:rPr>
          <w:color w:val="000000" w:themeColor="text1"/>
        </w:rPr>
        <w:t>FedProx</w:t>
      </w:r>
      <w:proofErr w:type="spellEnd"/>
      <w:r w:rsidRPr="004A5AD0">
        <w:rPr>
          <w:color w:val="000000" w:themeColor="text1"/>
        </w:rPr>
        <w:t xml:space="preserve"> / SCAFFOLD); track communication rounds and convergence.</w:t>
      </w:r>
    </w:p>
    <w:p w14:paraId="10CBAA72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>Client-level differential-privacy sweep (vary ε) to produce a privacy–utility curve rather than a single operating point.</w:t>
      </w:r>
    </w:p>
    <w:p w14:paraId="70568AF6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>Comparison arms: centralized (upper bound) vs. federated vs. local-only (lower bound) under identical splits; hierarchy-aware metrics for the multi-label task.</w:t>
      </w:r>
    </w:p>
    <w:p w14:paraId="431DFE5F" w14:textId="77777777" w:rsidR="001C6E22" w:rsidRPr="004A5AD0" w:rsidRDefault="00000000">
      <w:pPr>
        <w:pStyle w:val="ListParagraph"/>
        <w:numPr>
          <w:ilvl w:val="0"/>
          <w:numId w:val="2"/>
        </w:numPr>
        <w:spacing w:after="50" w:line="270" w:lineRule="auto"/>
        <w:rPr>
          <w:color w:val="000000" w:themeColor="text1"/>
        </w:rPr>
      </w:pPr>
      <w:r w:rsidRPr="004A5AD0">
        <w:rPr>
          <w:color w:val="000000" w:themeColor="text1"/>
        </w:rPr>
        <w:t>Report the privacy budget at which federated performance approaches centralized, and where non-IID heterogeneity breaks it.</w:t>
      </w:r>
    </w:p>
    <w:p w14:paraId="70B457DA" w14:textId="77777777" w:rsidR="001C6E22" w:rsidRPr="004A5AD0" w:rsidRDefault="00000000">
      <w:pPr>
        <w:spacing w:after="120" w:line="276" w:lineRule="auto"/>
        <w:jc w:val="both"/>
        <w:rPr>
          <w:color w:val="000000" w:themeColor="text1"/>
        </w:rPr>
      </w:pPr>
      <w:r w:rsidRPr="004A5AD0">
        <w:rPr>
          <w:b/>
          <w:bCs/>
          <w:color w:val="000000" w:themeColor="text1"/>
          <w:sz w:val="22"/>
          <w:szCs w:val="22"/>
        </w:rPr>
        <w:t xml:space="preserve">Tentative Dataset:  </w:t>
      </w:r>
      <w:r w:rsidRPr="004A5AD0">
        <w:rPr>
          <w:color w:val="000000" w:themeColor="text1"/>
        </w:rPr>
        <w:t>A real clinical-text corpus supporting hierarchical multi-label coding — e.g., MIMIC-III/IV discharge summaries with ICD codes — partitioned across simulated sites to emulate distributed hospitals; or multiple genuinely distinct text sources if available. Non-IID partitioning is required to demonstrate federation.</w:t>
      </w:r>
    </w:p>
    <w:p w14:paraId="022A4CF0" w14:textId="3AB03A58" w:rsidR="001C6E22" w:rsidRPr="004A5AD0" w:rsidRDefault="00000000" w:rsidP="004A5AD0">
      <w:pPr>
        <w:rPr>
          <w:color w:val="000000" w:themeColor="text1"/>
        </w:rPr>
      </w:pPr>
      <w:r w:rsidRPr="004A5AD0">
        <w:rPr>
          <w:color w:val="000000" w:themeColor="text1"/>
        </w:rPr>
        <w:br w:type="page"/>
      </w:r>
    </w:p>
    <w:sectPr w:rsidR="001C6E22" w:rsidRPr="004A5AD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7A2B02"/>
    <w:multiLevelType w:val="hybridMultilevel"/>
    <w:tmpl w:val="3A22BC90"/>
    <w:lvl w:ilvl="0" w:tplc="80C6C0CE">
      <w:start w:val="1"/>
      <w:numFmt w:val="bullet"/>
      <w:lvlText w:val="•"/>
      <w:lvlJc w:val="left"/>
      <w:pPr>
        <w:ind w:left="460" w:hanging="260"/>
      </w:pPr>
    </w:lvl>
    <w:lvl w:ilvl="1" w:tplc="1A6A9DD8">
      <w:numFmt w:val="decimal"/>
      <w:lvlText w:val=""/>
      <w:lvlJc w:val="left"/>
    </w:lvl>
    <w:lvl w:ilvl="2" w:tplc="D9504AC8">
      <w:numFmt w:val="decimal"/>
      <w:lvlText w:val=""/>
      <w:lvlJc w:val="left"/>
    </w:lvl>
    <w:lvl w:ilvl="3" w:tplc="618A6CB4">
      <w:numFmt w:val="decimal"/>
      <w:lvlText w:val=""/>
      <w:lvlJc w:val="left"/>
    </w:lvl>
    <w:lvl w:ilvl="4" w:tplc="D4DC7EF2">
      <w:numFmt w:val="decimal"/>
      <w:lvlText w:val=""/>
      <w:lvlJc w:val="left"/>
    </w:lvl>
    <w:lvl w:ilvl="5" w:tplc="AA282C5A">
      <w:numFmt w:val="decimal"/>
      <w:lvlText w:val=""/>
      <w:lvlJc w:val="left"/>
    </w:lvl>
    <w:lvl w:ilvl="6" w:tplc="EAC8B2C2">
      <w:numFmt w:val="decimal"/>
      <w:lvlText w:val=""/>
      <w:lvlJc w:val="left"/>
    </w:lvl>
    <w:lvl w:ilvl="7" w:tplc="3F04D598">
      <w:numFmt w:val="decimal"/>
      <w:lvlText w:val=""/>
      <w:lvlJc w:val="left"/>
    </w:lvl>
    <w:lvl w:ilvl="8" w:tplc="DFB0F80E">
      <w:numFmt w:val="decimal"/>
      <w:lvlText w:val=""/>
      <w:lvlJc w:val="left"/>
    </w:lvl>
  </w:abstractNum>
  <w:abstractNum w:abstractNumId="1" w15:restartNumberingAfterBreak="0">
    <w:nsid w:val="7C5F2EA7"/>
    <w:multiLevelType w:val="hybridMultilevel"/>
    <w:tmpl w:val="16E0EA2A"/>
    <w:lvl w:ilvl="0" w:tplc="D878208C">
      <w:start w:val="1"/>
      <w:numFmt w:val="bullet"/>
      <w:lvlText w:val="●"/>
      <w:lvlJc w:val="left"/>
      <w:pPr>
        <w:ind w:left="720" w:hanging="360"/>
      </w:pPr>
    </w:lvl>
    <w:lvl w:ilvl="1" w:tplc="E00838CE">
      <w:start w:val="1"/>
      <w:numFmt w:val="bullet"/>
      <w:lvlText w:val="○"/>
      <w:lvlJc w:val="left"/>
      <w:pPr>
        <w:ind w:left="1440" w:hanging="360"/>
      </w:pPr>
    </w:lvl>
    <w:lvl w:ilvl="2" w:tplc="B234F2D8">
      <w:start w:val="1"/>
      <w:numFmt w:val="bullet"/>
      <w:lvlText w:val="■"/>
      <w:lvlJc w:val="left"/>
      <w:pPr>
        <w:ind w:left="2160" w:hanging="360"/>
      </w:pPr>
    </w:lvl>
    <w:lvl w:ilvl="3" w:tplc="E3FCBBA2">
      <w:start w:val="1"/>
      <w:numFmt w:val="bullet"/>
      <w:lvlText w:val="●"/>
      <w:lvlJc w:val="left"/>
      <w:pPr>
        <w:ind w:left="2880" w:hanging="360"/>
      </w:pPr>
    </w:lvl>
    <w:lvl w:ilvl="4" w:tplc="E168DEA2">
      <w:start w:val="1"/>
      <w:numFmt w:val="bullet"/>
      <w:lvlText w:val="○"/>
      <w:lvlJc w:val="left"/>
      <w:pPr>
        <w:ind w:left="3600" w:hanging="360"/>
      </w:pPr>
    </w:lvl>
    <w:lvl w:ilvl="5" w:tplc="AE964C04">
      <w:start w:val="1"/>
      <w:numFmt w:val="bullet"/>
      <w:lvlText w:val="■"/>
      <w:lvlJc w:val="left"/>
      <w:pPr>
        <w:ind w:left="4320" w:hanging="360"/>
      </w:pPr>
    </w:lvl>
    <w:lvl w:ilvl="6" w:tplc="C144C236">
      <w:start w:val="1"/>
      <w:numFmt w:val="bullet"/>
      <w:lvlText w:val="●"/>
      <w:lvlJc w:val="left"/>
      <w:pPr>
        <w:ind w:left="5040" w:hanging="360"/>
      </w:pPr>
    </w:lvl>
    <w:lvl w:ilvl="7" w:tplc="0FC8C76E">
      <w:start w:val="1"/>
      <w:numFmt w:val="bullet"/>
      <w:lvlText w:val="●"/>
      <w:lvlJc w:val="left"/>
      <w:pPr>
        <w:ind w:left="5760" w:hanging="360"/>
      </w:pPr>
    </w:lvl>
    <w:lvl w:ilvl="8" w:tplc="74B4870C">
      <w:start w:val="1"/>
      <w:numFmt w:val="bullet"/>
      <w:lvlText w:val="●"/>
      <w:lvlJc w:val="left"/>
      <w:pPr>
        <w:ind w:left="6480" w:hanging="360"/>
      </w:pPr>
    </w:lvl>
  </w:abstractNum>
  <w:num w:numId="1" w16cid:durableId="2137988271">
    <w:abstractNumId w:val="1"/>
    <w:lvlOverride w:ilvl="0">
      <w:startOverride w:val="1"/>
    </w:lvlOverride>
  </w:num>
  <w:num w:numId="2" w16cid:durableId="249316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E22"/>
    <w:rsid w:val="001C6E22"/>
    <w:rsid w:val="004A5AD0"/>
    <w:rsid w:val="00F0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DFD83"/>
  <w15:docId w15:val="{C7948F2E-36F9-AE4A-905F-CD502D20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1110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Saxena</cp:lastModifiedBy>
  <cp:revision>2</cp:revision>
  <dcterms:created xsi:type="dcterms:W3CDTF">2026-07-07T12:38:00Z</dcterms:created>
  <dcterms:modified xsi:type="dcterms:W3CDTF">2026-07-07T12:41:00Z</dcterms:modified>
</cp:coreProperties>
</file>