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ECDAT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444444"/>
          <w:sz w:val="32"/>
          <w:szCs w:val="32"/>
        </w:rPr>
        <w:t xml:space="preserve">Competitive Landscape Analysis</w:t>
      </w:r>
    </w:p>
    <w:p>
      <w:pPr>
        <w:spacing w:after="120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Cryptographic Discovery &amp; Post-Quantum Migration Tooling — A Sourced Feature Comparison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Document version 1.0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Every claim in this document is cited to a public, independently verifiable source: the tools' own repositories/documentation, MITRE CWE, OWASP, or NIST/OMB publications. No claim about a competitor's capability is made without a link a reader can check themselves.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compares ECDAT against two tools chosen specifically because they are fair, directly relevant comparators — not because either is weaker than ECDAT. Both are real, freely available, and widely credible in the security community; a reader can install and run either one in minutes and check every number below independently.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two tools were selected on a single criterion: closest genuine overlap with ECDAT's problem space, weighted toward what a working security team would actually reach for. Tools that are not freely runnable (e.g. commercial-only platforms without a self-serve tier), or too new to have any independent track record, were deliberately excluded — not because they might outperform ECDAT, but because neither the run methodology nor the results could be independently checked, and an unverifiable comparison is not a useful one.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comparison's finding is straightforward: on the narrow dimension both competitors also address — flagging weak or deprecated cryptographic algorithm usage in source code — all three tools are broadly comparable. ECDAT's differentiation is in scope: post-quantum lifespan modeling, network-level PQC readiness, blast-radius risk propagation, budget-constrained migration planning, and cryptographically signed attestation are capabilities neither comparator offers at all, by design — they were built to solve a different, narrower problem. Section 6 states plainly where the reverse is true.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Methodology &amp; Tool-Selection Criteria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Selection criteria, applied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Freely runnable today, by anyone, without a sales process — so every number in this document is independently reproducible.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Genuine overlap with ECDAT's core function (static detection of cryptographic primitive usage in source code), not a tool from an adjacent category included only to look weak by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Credible standing in the security community — a name a practicing security engineer would already recognize and trust, so the comparison is meaningful to a technical reviewer rather than needing to be taken on faith.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ruled out several categories of tool worth naming explicitly, for transparency: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Commercial platforms (e.g. SandboxAQ AQtive Guard, Keyfactor Command) without a public self-serve tier this document's author could run and verify — including them would mean citing vendor marketing material rather than a reproducible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Very recently published, pre-1.0 community tools in the same CBOM/PQC-readiness niche as ECDAT — too new to have an independent usage record; any comparison today would be a comparison of documentation, not of verified behavior.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two tools that met all three criteria are PQCA's sonar-cryptography (the SonarQube-based source-scanning component of the Linux Foundation Post-Quantum Cryptography Alliance's CBOMkit project) and Semgrep (the industry-standard open-source static analysis engine) run with its public cryptography ruleset. Both are profiled in Section 3.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Tools Under Comparison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ECDAT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Enterprise Cryptographic Discovery &amp; Analysis Tool. Polyglot static discovery (Python, Java, Go, JavaScript/TypeScript, Ruby, Rust) plus certificate/keystore discovery, combined with data-lifespan-aware risk scoring (Mosca's theorem), an epidemiological blast-radius graph, a budget-constrained migration optimizer, active network MTU/PQC-fragmentation probing, and a Merkle-tree-anchored, dual-signed (Ed25519 + ML-DSA-65) attestation of every scan.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PQCA sonar-cryptography (CBOMkit family)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 open-source SonarQube plugin maintained under the Linux Foundation's Post-Quantum Cryptography Alliance (PQCA), producing a CycloneDX Cryptography Bill of Materials from source code. It is the source-scanning counterpart to cbomkit-theia (which performs certificate/key discovery on containers and filesystems, not source code — stated explicitly in the project's own documentation).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hyperlink w:history="1" r:id="rIdxoj2of-wo6yvyebeutvvq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github.com/PQCA/sonar-cryptography</w:t>
        </w:r>
      </w:hyperlink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Semgrep (with public cryptography ruleset)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widely adopted open-source static analysis engine (not CBOM-specific) with a public rule registry that includes rules for weak-cryptography patterns — MD5/SHA-1 usage, ECB mode, hardcoded keys, and similar. Included specifically because it is the tool most likely to already be familiar to, or in use by, a reviewing security team.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hyperlink w:history="1" r:id="rIduhc07f5y_0avbg3rgcftb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semgrep.dev/explore (public rule registry)</w:t>
        </w:r>
      </w:hyperlink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Feature Comparison Matrix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1"/>
          <w:szCs w:val="21"/>
        </w:rPr>
        <w:t xml:space="preserve">“Partial” means the capability exists in a limited or indirect form — detail is given in the cell. “—” means the capability was not found in the tool's public documentation or source at the time of writing; it is not a claim that the tool is deficient, only that it was not built to do that specific thing.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2100"/>
      </w:tblGrid>
      <w:t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ECDAT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sonar-cryptography
(CBOMkit / PQCA)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Semgrep
(+ crypto ruleset)</w:t>
            </w:r>
          </w:p>
        </w:tc>
      </w:tr>
      <w:tr>
        <w:tc>
          <w:tcPr>
            <w:tcW w:type="dxa" w:w="9600"/>
            <w:gridSpan w:val="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Languages scanned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 (Py, Java, Go, JS/TS, Ruby, Rust)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 (Java, Python)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30+ (generic, not crypto-specific)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Weak/deprecated algorithm detection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Certificate / keystore discovery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partial — via a separate tool, cbomkit-theia, not sonar-cryptography itself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CycloneDX CBOM output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SARIF output (CI annotations)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partial — JSON/SARIF for generic findings, no CBOM</w:t>
            </w:r>
          </w:p>
        </w:tc>
      </w:tr>
      <w:tr>
        <w:tc>
          <w:tcPr>
            <w:tcW w:type="dxa" w:w="9600"/>
            <w:gridSpan w:val="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Post-Quantum &amp; Risk Modeling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Data-lifespan-aware risk scoring (Mosca's theorem)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Harvest-Now-Decrypt-Later exposure modeling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Active network MTU / PQC packet-fragmentation probing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Blast-radius / contagion graph (superspreader detection)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Budget-constrained migration planning (0/1 knapsack)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600"/>
            <w:gridSpan w:val="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Trust &amp; Operations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Signed attestation of scan results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Ed25519 + ML-DSA-65 dual signature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Negative-proof certification (absence of forbidden ciphers)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1-click remediation with rollback journal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CI/CD gate (pass/fail exit code)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partial — via SonarQube's own quality gate mechanism</w:t>
            </w:r>
          </w:p>
        </w:tc>
        <w:tc>
          <w:tcPr>
            <w:tcW w:type="dxa" w:w="21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9600"/>
            <w:gridSpan w:val="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Requires a server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— CLI-only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— SonarQube server required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— CLI-only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pip install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SonarQube + plugin + sonar-scanner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pip install</w:t>
            </w:r>
          </w:p>
        </w:tc>
      </w:tr>
      <w:tr>
        <w:tc>
          <w:tcPr>
            <w:tcW w:type="dxa" w:w="9600"/>
            <w:gridSpan w:val="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Detection Accuracy (self-reported — see Section 6)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Published benchmark recall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93.6–100% (CryptoAPI-Bench, ApacheCryptoAPI-Bench, CamBench)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independently published by this document's author at time of writing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independently published by this document's author at time of writing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What ECDAT Uniquely Provides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Data-lifespan-aware risk scoring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Both comparators treat every algorithm finding with equal urgency. ECDAT computes a per-asset runway using Mosca's theorem (migrate before X + Y &gt; Z), inferring the data's retention period X directly from SQL/ORM schema definitions rather than a flat assumption. This is the specific quantitative model the original 2018 Mosca paper describes and later work has built 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hyperlink w:history="1" r:id="rIdqvpja9forzgdmhnc5xrwx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https://ieeexplore.ieee.org/document/8481195</w:t>
        </w:r>
      </w:hyperlink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Harvest-Now-Decrypt-Later exposure modeling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Neither comparator models the risk that classically encrypted data recorded today could be decrypted retroactively once a cryptographically relevant quantum computer exists — the specific risk driving global PQC migration mandates.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hyperlink w:history="1" r:id="rIduaadhage7z94qvu7zinx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https://globalriskinstitute.org/publication/2025-quantum-threat-timeline-report/</w:t>
        </w:r>
      </w:hyperlink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Active MTU / PQC packet-fragmentation probing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PQC signatures and key-encapsulation ciphertexts are substantially larger than their classical equivalents — an ML-DSA-65 signature (3,309 bytes) is roughly 51.7x the size of an ECDSA-P256 signature (64 bytes) — which can push a TLS handshake over common network MTU limits and cause silent connection failures after a PQC migration. ECDAT is, to this document's author's knowledge, the only tool in this comparison that tests for this before a migration ships.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 (ML-DSA-65 signature size): </w:t>
      </w:r>
      <w:hyperlink w:history="1" r:id="rIdrbdopz1j61nq-s5axnxe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https://csrc.nist.gov/pubs/fips/204/final</w:t>
        </w:r>
      </w:hyperlink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Blast-radius / contagion graph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ECDAT models cryptographic assets as a directed graph and computes each node's R0 (its count of downstream dependents), surfacing “superspreader” assets — a single compromised root CA or shared signing key that quietly puts many downstream services at risk — so a migration plan can prioritize fixing the one asset that immunizes the most services, not just the asset with the scariest-looking individual finding.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5.5 Budget-constrained migration planning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CBOM alone tells a team what is broken, not what to fix first given a fixed number of engineering weeks. ECDAT's optimizer ranks remediation items by risk reduction per unit of engineering cost and fills a stated budget accordingly, so the output is a sprint plan, not just a findings list.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5.6 Signed, dual-algorithm attestation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ECDAT anchors every scan's findings in a SHA-256 Merkle tree and signs the resulting attestation envelope with both a classical algorithm (Ed25519) and a NIST-standardized post-quantum algorithm (ML-DSA-65), so the proof of what was scanned is itself verifiable and, per the same PQC-migration logic the tool applies to its target codebases, resistant to future cryptanalytic advances.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 (ML-DSA / FIPS 204): </w:t>
      </w:r>
      <w:hyperlink w:history="1" r:id="rIdous-vk-xj2ivorbxchaq7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https://csrc.nist.gov/pubs/fips/204/final</w:t>
        </w:r>
      </w:hyperlink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Honest Limitations &amp; Where Competitors Lead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comparison that only ever favors one side is not a credible comparison. The following are real, current gaps, stated plainly: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Language coverage breadth outside cryptography: Semgrep's general-purpose rule registry covers thousands of findings across dozens of languages and vulnerability classes far beyond cryptography (injection, XSS, access control, and more). ECDAT is deliberately narrow — cryptography only — and does not attempt to compete on general SAST breadth.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Community and maturity: sonar-cryptography is maintained under the Linux Foundation's PQCA with broad industry backing (contributors from IBM and others) and a longer public track record than ECDAT. A larger contributor base generally means faster response to newly disclosed algorithm weaknesses and broader edge-case coverage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Independent benchmark validation: the recall figures cited for ECDAT in Section 4 are self-reported against public benchmark suites (CryptoAPI-Bench, ApacheCryptoAPI-Bench, CamBench); they have not yet been independently reproduced or published by a third party, and should be weighted accordingly until they 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Ecosystem integrations: Semgrep has broad, mature IDE and CI platform integrations (VS Code, GitHub, GitLab, and others) built up over years of production use; ECDAT's CI integration is newer and narrower in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Java scanning was recently rewritten from a regex-based engine to a full AST parser; this is a strength going forward, but it means ECDAT's Java coverage has a shorter production track record than a tool that has run unchanged against real codebases for longer.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None of this changes the scope comparison in Section 4 — neither comparator does PQC lifespan modeling, blast-radius analysis, budget-constrained planning, or signed attestation, regardless of how mature their core algorithm-detection engine is. But scope breadth is not the same as depth or maturity within the narrower thing both tools already do, and a reviewer evaluating ECDAT should weigh both.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Sources &amp; References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PQCA sonar-cryptography: </w:t>
      </w:r>
      <w:hyperlink w:history="1" r:id="rIdf7y8nz3ikit3rr4rdoqyr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https://github.com/PQCA/sonar-cryptography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PQCA cbomkit-theia (certificate/container scanning, referenced in Section 3.2): </w:t>
      </w:r>
      <w:hyperlink w:history="1" r:id="rIdfwbcvmtjyylmesfm2c3mr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https://github.com/PQCA/cbomkit-theia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Semgrep public rule registry: </w:t>
      </w:r>
      <w:hyperlink w:history="1" r:id="rIdobuqmcl3pzzd9mldamjou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https://semgrep.dev/explore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Mosca, “Cybersecurity in an Era with Quantum Computers: Will We Be Ready?” IEEE Security &amp; Privacy, 2018: </w:t>
      </w:r>
      <w:hyperlink w:history="1" r:id="rIddd-vftzerkowd_gnijv-k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https://ieeexplore.ieee.org/document/8481195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Global Risk Institute, Quantum Threat Timeline Report 2025: </w:t>
      </w:r>
      <w:hyperlink w:history="1" r:id="rIds7gqmgtfnmcledekh3sgy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https://globalriskinstitute.org/publication/2025-quantum-threat-timeline-report/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NIST FIPS 204 — ML-DSA (Module-Lattice-Based Digital Signature Standard): </w:t>
      </w:r>
      <w:hyperlink w:history="1" r:id="rIdwbf4axjxhrj9cuwhn9zma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https://csrc.nist.gov/pubs/fips/204/final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NIST FIPS 203 — ML-KEM (Module-Lattice-Based Key-Encapsulation Mechanism Standard): </w:t>
      </w:r>
      <w:hyperlink w:history="1" r:id="rIdv-r0eqnbpsl8yvx07tfq_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https://csrc.nist.gov/pubs/fips/203/final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OMB Memorandum M-26-15, Execution of the Migration to Post-Quantum Cryptography: </w:t>
      </w:r>
      <w:hyperlink w:history="1" r:id="rIdpkfdini_eoexicyhk52fd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https://www.whitehouse.gov/omb/briefing-room/</w:t>
        </w:r>
      </w:hyperlink>
    </w:p>
    <w:p>
      <w:pP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All source links were live and accessible at the time this document was prepared. If any link has moved, the organization/document name given alongside it is sufficient to relocate the current version.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5"/>
        <w:szCs w:val="15"/>
      </w:rPr>
      <w:t xml:space="preserve">ECDAT — Competitive Landscape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oj2of-wo6yvyebeutvvq" Type="http://schemas.openxmlformats.org/officeDocument/2006/relationships/hyperlink" Target="https://github.com/PQCA/sonar-cryptography" TargetMode="External"/><Relationship Id="rIduhc07f5y_0avbg3rgcftb" Type="http://schemas.openxmlformats.org/officeDocument/2006/relationships/hyperlink" Target="https://semgrep.dev/explore" TargetMode="External"/><Relationship Id="rIdqvpja9forzgdmhnc5xrwx" Type="http://schemas.openxmlformats.org/officeDocument/2006/relationships/hyperlink" Target="https://ieeexplore.ieee.org/document/8481195" TargetMode="External"/><Relationship Id="rIduaadhage7z94qvu7zinxo" Type="http://schemas.openxmlformats.org/officeDocument/2006/relationships/hyperlink" Target="https://globalriskinstitute.org/publication/2025-quantum-threat-timeline-report/" TargetMode="External"/><Relationship Id="rIdrbdopz1j61nq-s5axnxei" Type="http://schemas.openxmlformats.org/officeDocument/2006/relationships/hyperlink" Target="https://csrc.nist.gov/pubs/fips/204/final" TargetMode="External"/><Relationship Id="rIdous-vk-xj2ivorbxchaq7" Type="http://schemas.openxmlformats.org/officeDocument/2006/relationships/hyperlink" Target="https://csrc.nist.gov/pubs/fips/204/final" TargetMode="External"/><Relationship Id="rIdf7y8nz3ikit3rr4rdoqyr" Type="http://schemas.openxmlformats.org/officeDocument/2006/relationships/hyperlink" Target="https://github.com/PQCA/sonar-cryptography" TargetMode="External"/><Relationship Id="rIdfwbcvmtjyylmesfm2c3mr" Type="http://schemas.openxmlformats.org/officeDocument/2006/relationships/hyperlink" Target="https://github.com/PQCA/cbomkit-theia" TargetMode="External"/><Relationship Id="rIdobuqmcl3pzzd9mldamjou" Type="http://schemas.openxmlformats.org/officeDocument/2006/relationships/hyperlink" Target="https://semgrep.dev/explore" TargetMode="External"/><Relationship Id="rIddd-vftzerkowd_gnijv-k" Type="http://schemas.openxmlformats.org/officeDocument/2006/relationships/hyperlink" Target="https://ieeexplore.ieee.org/document/8481195" TargetMode="External"/><Relationship Id="rIds7gqmgtfnmcledekh3sgy" Type="http://schemas.openxmlformats.org/officeDocument/2006/relationships/hyperlink" Target="https://globalriskinstitute.org/publication/2025-quantum-threat-timeline-report/" TargetMode="External"/><Relationship Id="rIdwbf4axjxhrj9cuwhn9zma" Type="http://schemas.openxmlformats.org/officeDocument/2006/relationships/hyperlink" Target="https://csrc.nist.gov/pubs/fips/204/final" TargetMode="External"/><Relationship Id="rIdv-r0eqnbpsl8yvx07tfq_" Type="http://schemas.openxmlformats.org/officeDocument/2006/relationships/hyperlink" Target="https://csrc.nist.gov/pubs/fips/203/final" TargetMode="External"/><Relationship Id="rIdpkfdini_eoexicyhk52fd" Type="http://schemas.openxmlformats.org/officeDocument/2006/relationships/hyperlink" Target="https://www.whitehouse.gov/omb/briefing-room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2026-09-27T03:44:09.590Z</dcterms:created>
  <dcterms:modified xsi:type="dcterms:W3CDTF">2026-09-27T03:44:09.596Z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