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68" w:before="157" w:after="157"/>
        <w:rPr/>
      </w:pPr>
      <w:bookmarkStart w:id="0" w:name="penetration_testing_proposal_template"/>
      <w:r>
        <w:rPr>
          <w:rFonts w:eastAsia="source serif 4" w:cs="source serif 4" w:ascii="source serif 4" w:hAnsi="source serif 4"/>
          <w:b/>
          <w:color w:val="000000"/>
          <w:sz w:val="39"/>
        </w:rPr>
        <w:t>Penetration Testing Proposal Template</w:t>
      </w:r>
      <w:bookmarkEnd w:id="0"/>
    </w:p>
    <w:p>
      <w:pPr>
        <w:pStyle w:val="Normal"/>
        <w:spacing w:lineRule="auto" w:line="360" w:before="0" w:after="210"/>
        <w:rPr/>
      </w:pPr>
      <w:r>
        <w:rPr>
          <w:rFonts w:eastAsia="source serif 4" w:cs="source serif 4" w:ascii="source serif 4" w:hAnsi="source serif 4"/>
          <w:b/>
          <w:color w:val="000000"/>
        </w:rPr>
        <w:t>Purpose:</w:t>
      </w:r>
      <w:r>
        <w:rPr>
          <w:rFonts w:eastAsia="source serif 4" w:cs="source serif 4" w:ascii="source serif 4" w:hAnsi="source serif 4"/>
          <w:color w:val="000000"/>
        </w:rPr>
        <w:t xml:space="preserve"> This template helps learners draft a professional penetration testing proposal for a fictitious client organization. It is structured with reference to the Penetration Testing Execution Standard (PTES) seven-phase model and aligned to the planning, execution, and post-testing orientation described in NIST SP 800-115.</w:t>
      </w:r>
    </w:p>
    <w:p>
      <w:pPr>
        <w:pStyle w:val="Normal"/>
        <w:spacing w:lineRule="auto" w:line="360" w:before="315" w:after="105"/>
        <w:ind w:left="-30"/>
        <w:rPr/>
      </w:pPr>
      <w:bookmarkStart w:id="1" w:name="student_instructions"/>
      <w:r>
        <w:rPr>
          <w:rFonts w:eastAsia="source serif 4" w:cs="source serif 4" w:ascii="source serif 4" w:hAnsi="source serif 4"/>
          <w:b/>
          <w:color w:val="000000"/>
          <w:sz w:val="24"/>
        </w:rPr>
        <w:t>Student Instructions</w:t>
      </w:r>
      <w:bookmarkEnd w:id="1"/>
    </w:p>
    <w:p>
      <w:pPr>
        <w:pStyle w:val="Normal"/>
        <w:spacing w:lineRule="auto" w:line="360" w:before="0" w:after="210"/>
        <w:rPr/>
      </w:pPr>
      <w:r>
        <w:rPr>
          <w:rFonts w:eastAsia="source serif 4" w:cs="source serif 4" w:ascii="source serif 4" w:hAnsi="source serif 4"/>
          <w:color w:val="000000"/>
        </w:rPr>
        <w:t>Use this document as a proposal-writing exercise. Assume the client is a fictitious organization, stay within legal and ethical boundaries, and avoid including any language that suggests real unauthorized testing.</w:t>
      </w:r>
    </w:p>
    <w:p>
      <w:pPr>
        <w:pStyle w:val="Normal"/>
        <w:spacing w:lineRule="auto" w:line="360" w:before="0" w:after="210"/>
        <w:rPr/>
      </w:pPr>
      <w:r>
        <w:rPr>
          <w:rFonts w:eastAsia="source serif 4" w:cs="source serif 4" w:ascii="source serif 4" w:hAnsi="source serif 4"/>
          <w:color w:val="000000"/>
        </w:rPr>
        <w:t>Replace all bracketed text with your own content. Keep the tone formal, concise, and suitable for submission to a client decision-maker and a technical point of contact.</w:t>
      </w:r>
    </w:p>
    <w:p>
      <w:pPr>
        <w:pStyle w:val="Normal"/>
        <w:spacing w:lineRule="auto" w:line="360" w:before="315" w:after="105"/>
        <w:ind w:left="-30"/>
        <w:rPr/>
      </w:pPr>
      <w:bookmarkStart w:id="2" w:name="bm_1_cover_page"/>
      <w:r>
        <w:rPr>
          <w:rFonts w:eastAsia="source serif 4" w:cs="source serif 4" w:ascii="source serif 4" w:hAnsi="source serif 4"/>
          <w:b/>
          <w:color w:val="000000"/>
          <w:sz w:val="24"/>
        </w:rPr>
        <w:t>1. Cover Page</w:t>
      </w:r>
      <w:bookmarkEnd w:id="2"/>
    </w:p>
    <w:p>
      <w:pPr>
        <w:pStyle w:val="Normal"/>
        <w:numPr>
          <w:ilvl w:val="0"/>
          <w:numId w:val="1"/>
        </w:numPr>
        <w:spacing w:lineRule="auto" w:line="360" w:before="105" w:after="105"/>
        <w:rPr/>
      </w:pPr>
      <w:r>
        <w:rPr>
          <w:rFonts w:eastAsia="source serif 4" w:cs="source serif 4" w:ascii="source serif 4" w:hAnsi="source serif 4"/>
          <w:color w:val="000000"/>
        </w:rPr>
        <w:t xml:space="preserve">Proposal title: </w:t>
      </w:r>
      <w:r>
        <w:rPr>
          <w:rFonts w:eastAsia="source serif 4" w:cs="source serif 4" w:ascii="source serif 4" w:hAnsi="source serif 4"/>
          <w:b/>
          <w:color w:val="000000"/>
        </w:rPr>
        <w:t>Penetration Testing Proposal for [Client Name]</w:t>
      </w:r>
    </w:p>
    <w:p>
      <w:pPr>
        <w:pStyle w:val="Normal"/>
        <w:numPr>
          <w:ilvl w:val="0"/>
          <w:numId w:val="1"/>
        </w:numPr>
        <w:spacing w:lineRule="auto" w:line="360" w:before="105" w:after="105"/>
        <w:rPr/>
      </w:pPr>
      <w:r>
        <w:rPr>
          <w:rFonts w:eastAsia="source serif 4" w:cs="source serif 4" w:ascii="source serif 4" w:hAnsi="source serif 4"/>
          <w:color w:val="000000"/>
        </w:rPr>
        <w:t xml:space="preserve">Prepared by: </w:t>
      </w:r>
      <w:r>
        <w:rPr>
          <w:rFonts w:eastAsia="source serif 4" w:cs="source serif 4" w:ascii="source serif 4" w:hAnsi="source serif 4"/>
          <w:color w:val="000000"/>
        </w:rPr>
        <w:t>Furqaan Motiwala</w:t>
      </w:r>
    </w:p>
    <w:p>
      <w:pPr>
        <w:pStyle w:val="Normal"/>
        <w:numPr>
          <w:ilvl w:val="0"/>
          <w:numId w:val="1"/>
        </w:numPr>
        <w:spacing w:lineRule="auto" w:line="360" w:before="105" w:after="105"/>
        <w:rPr/>
      </w:pPr>
      <w:r>
        <w:rPr>
          <w:rFonts w:eastAsia="source serif 4" w:cs="source serif 4" w:ascii="source serif 4" w:hAnsi="source serif 4"/>
          <w:color w:val="000000"/>
        </w:rPr>
        <w:t xml:space="preserve">Date: </w:t>
      </w:r>
      <w:r>
        <w:rPr>
          <w:rFonts w:eastAsia="source serif 4" w:cs="source serif 4" w:ascii="source serif 4" w:hAnsi="source serif 4"/>
          <w:color w:val="000000"/>
        </w:rPr>
        <w:t>{SYSTEM_DATE}</w:t>
      </w:r>
    </w:p>
    <w:p>
      <w:pPr>
        <w:pStyle w:val="Normal"/>
        <w:numPr>
          <w:ilvl w:val="0"/>
          <w:numId w:val="1"/>
        </w:numPr>
        <w:spacing w:lineRule="auto" w:line="360" w:before="105" w:after="105"/>
        <w:rPr/>
      </w:pPr>
      <w:r>
        <w:rPr>
          <w:rFonts w:eastAsia="source serif 4" w:cs="source serif 4" w:ascii="source serif 4" w:hAnsi="source serif 4"/>
          <w:color w:val="000000"/>
        </w:rPr>
        <w:t xml:space="preserve">Version: </w:t>
      </w:r>
      <w:r>
        <w:rPr>
          <w:rFonts w:eastAsia="source serif 4" w:cs="source serif 4" w:ascii="source serif 4" w:hAnsi="source serif 4"/>
          <w:color w:val="000000"/>
        </w:rPr>
        <w:t>1.0.0</w:t>
      </w:r>
    </w:p>
    <w:p>
      <w:pPr>
        <w:pStyle w:val="Normal"/>
        <w:numPr>
          <w:ilvl w:val="0"/>
          <w:numId w:val="1"/>
        </w:numPr>
        <w:spacing w:lineRule="auto" w:line="360" w:before="105" w:after="105"/>
        <w:rPr/>
      </w:pPr>
      <w:r>
        <w:rPr>
          <w:rFonts w:eastAsia="source serif 4" w:cs="source serif 4" w:ascii="source serif 4" w:hAnsi="source serif 4"/>
          <w:color w:val="000000"/>
        </w:rPr>
        <w:t>Confidentiality marking: [Confidential / Internal Use Only / Training Exercise]</w:t>
      </w:r>
    </w:p>
    <w:p>
      <w:pPr>
        <w:pStyle w:val="Normal"/>
        <w:spacing w:lineRule="auto" w:line="360" w:before="315" w:after="105"/>
        <w:ind w:left="-30"/>
        <w:rPr/>
      </w:pPr>
      <w:bookmarkStart w:id="3" w:name="bm_2_executive_overview"/>
      <w:r>
        <w:rPr>
          <w:rFonts w:eastAsia="source serif 4" w:cs="source serif 4" w:ascii="source serif 4" w:hAnsi="source serif 4"/>
          <w:b/>
          <w:color w:val="000000"/>
          <w:sz w:val="24"/>
        </w:rPr>
        <w:t>2. Executive Overview</w:t>
      </w:r>
      <w:bookmarkEnd w:id="3"/>
    </w:p>
    <w:p>
      <w:pPr>
        <w:pStyle w:val="Normal"/>
        <w:spacing w:lineRule="auto" w:line="360" w:before="0" w:after="210"/>
        <w:rPr/>
      </w:pPr>
      <w:r>
        <w:rPr>
          <w:rFonts w:eastAsia="source serif 4" w:cs="source serif 4" w:ascii="source serif 4" w:hAnsi="source serif 4"/>
          <w:color w:val="000000"/>
        </w:rPr>
        <w:t>Write 1-2 short paragraphs covering:</w:t>
      </w:r>
    </w:p>
    <w:p>
      <w:pPr>
        <w:pStyle w:val="Normal"/>
        <w:numPr>
          <w:ilvl w:val="0"/>
          <w:numId w:val="2"/>
        </w:numPr>
        <w:spacing w:lineRule="auto" w:line="360" w:before="105" w:after="105"/>
        <w:rPr/>
      </w:pPr>
      <w:r>
        <w:rPr>
          <w:rFonts w:eastAsia="source serif 4" w:cs="source serif 4" w:ascii="source serif 4" w:hAnsi="source serif 4"/>
          <w:color w:val="000000"/>
        </w:rPr>
        <w:t>Who is requesting the engagement.</w:t>
      </w:r>
    </w:p>
    <w:p>
      <w:pPr>
        <w:pStyle w:val="Normal"/>
        <w:numPr>
          <w:ilvl w:val="0"/>
          <w:numId w:val="2"/>
        </w:numPr>
        <w:spacing w:lineRule="auto" w:line="360" w:before="105" w:after="105"/>
        <w:rPr/>
      </w:pPr>
      <w:r>
        <w:rPr>
          <w:rFonts w:eastAsia="source serif 4" w:cs="source serif 4" w:ascii="source serif 4" w:hAnsi="source serif 4"/>
          <w:color w:val="000000"/>
        </w:rPr>
        <w:t>What is being tested at a high level.</w:t>
      </w:r>
    </w:p>
    <w:p>
      <w:pPr>
        <w:pStyle w:val="Normal"/>
        <w:numPr>
          <w:ilvl w:val="0"/>
          <w:numId w:val="2"/>
        </w:numPr>
        <w:spacing w:lineRule="auto" w:line="360" w:before="105" w:after="105"/>
        <w:rPr/>
      </w:pPr>
      <w:r>
        <w:rPr>
          <w:rFonts w:eastAsia="source serif 4" w:cs="source serif 4" w:ascii="source serif 4" w:hAnsi="source serif 4"/>
          <w:color w:val="000000"/>
        </w:rPr>
        <w:t>Why the test is being performed.</w:t>
      </w:r>
    </w:p>
    <w:p>
      <w:pPr>
        <w:pStyle w:val="Normal"/>
        <w:numPr>
          <w:ilvl w:val="0"/>
          <w:numId w:val="2"/>
        </w:numPr>
        <w:spacing w:lineRule="auto" w:line="360" w:before="105" w:after="105"/>
        <w:rPr/>
      </w:pPr>
      <w:r>
        <w:rPr>
          <w:rFonts w:eastAsia="source serif 4" w:cs="source serif 4" w:ascii="source serif 4" w:hAnsi="source serif 4"/>
          <w:color w:val="000000"/>
        </w:rPr>
        <w:t>What value the client should expect from the assessment.</w:t>
      </w:r>
    </w:p>
    <w:p>
      <w:pPr>
        <w:pStyle w:val="Normal"/>
        <w:spacing w:lineRule="auto" w:line="360" w:before="0" w:after="210"/>
        <w:rPr/>
      </w:pPr>
      <w:r>
        <w:rPr>
          <w:rFonts w:eastAsia="source serif 4" w:cs="source serif 4" w:ascii="source serif 4" w:hAnsi="source serif 4"/>
          <w:b/>
          <w:color w:val="000000"/>
        </w:rPr>
        <w:t>Sample prompt:</w:t>
      </w:r>
      <w:r>
        <w:rPr>
          <w:rFonts w:eastAsia="source serif 4" w:cs="source serif 4" w:ascii="source serif 4" w:hAnsi="source serif 4"/>
          <w:color w:val="000000"/>
        </w:rPr>
        <w:br/>
        <w:t>This proposal outlines a controlled penetration testing engagement for [Client Name] to identify security weaknesses across [in-scope assets]. The engagement is designed to simulate realistic attacker behavior in a safe and authorized manner, with findings documented to support remediation and security improvement.</w:t>
      </w:r>
    </w:p>
    <w:p>
      <w:pPr>
        <w:pStyle w:val="Normal"/>
        <w:spacing w:lineRule="auto" w:line="360" w:before="315" w:after="105"/>
        <w:ind w:left="-30"/>
        <w:rPr/>
      </w:pPr>
      <w:bookmarkStart w:id="4" w:name="bm_3_client_background"/>
      <w:r>
        <w:rPr>
          <w:rFonts w:eastAsia="source serif 4" w:cs="source serif 4" w:ascii="source serif 4" w:hAnsi="source serif 4"/>
          <w:b/>
          <w:color w:val="000000"/>
          <w:sz w:val="24"/>
        </w:rPr>
        <w:t>3. Client Background</w:t>
      </w:r>
      <w:bookmarkEnd w:id="4"/>
    </w:p>
    <w:p>
      <w:pPr>
        <w:pStyle w:val="Normal"/>
        <w:spacing w:lineRule="auto" w:line="360" w:before="0" w:after="210"/>
        <w:rPr/>
      </w:pPr>
      <w:r>
        <w:rPr>
          <w:rFonts w:eastAsia="source serif 4" w:cs="source serif 4" w:ascii="source serif 4" w:hAnsi="source serif 4"/>
          <w:color w:val="000000"/>
        </w:rPr>
        <w:t>Document the client context:</w:t>
      </w:r>
    </w:p>
    <w:p>
      <w:pPr>
        <w:pStyle w:val="Normal"/>
        <w:numPr>
          <w:ilvl w:val="0"/>
          <w:numId w:val="3"/>
        </w:numPr>
        <w:spacing w:lineRule="auto" w:line="360" w:before="105" w:after="105"/>
        <w:rPr/>
      </w:pPr>
      <w:r>
        <w:rPr>
          <w:rFonts w:eastAsia="source serif 4" w:cs="source serif 4" w:ascii="source serif 4" w:hAnsi="source serif 4"/>
          <w:color w:val="000000"/>
        </w:rPr>
        <w:t>Industry sector.</w:t>
      </w:r>
    </w:p>
    <w:p>
      <w:pPr>
        <w:pStyle w:val="Normal"/>
        <w:numPr>
          <w:ilvl w:val="0"/>
          <w:numId w:val="3"/>
        </w:numPr>
        <w:spacing w:lineRule="auto" w:line="360" w:before="105" w:after="105"/>
        <w:rPr/>
      </w:pPr>
      <w:r>
        <w:rPr>
          <w:rFonts w:eastAsia="source serif 4" w:cs="source serif 4" w:ascii="source serif 4" w:hAnsi="source serif 4"/>
          <w:color w:val="000000"/>
        </w:rPr>
        <w:t>Business model.</w:t>
      </w:r>
    </w:p>
    <w:p>
      <w:pPr>
        <w:pStyle w:val="Normal"/>
        <w:numPr>
          <w:ilvl w:val="0"/>
          <w:numId w:val="3"/>
        </w:numPr>
        <w:spacing w:lineRule="auto" w:line="360" w:before="105" w:after="105"/>
        <w:rPr/>
      </w:pPr>
      <w:r>
        <w:rPr>
          <w:rFonts w:eastAsia="source serif 4" w:cs="source serif 4" w:ascii="source serif 4" w:hAnsi="source serif 4"/>
          <w:color w:val="000000"/>
        </w:rPr>
        <w:t>Critical services.</w:t>
      </w:r>
    </w:p>
    <w:p>
      <w:pPr>
        <w:pStyle w:val="Normal"/>
        <w:numPr>
          <w:ilvl w:val="0"/>
          <w:numId w:val="3"/>
        </w:numPr>
        <w:spacing w:lineRule="auto" w:line="360" w:before="105" w:after="105"/>
        <w:rPr/>
      </w:pPr>
      <w:r>
        <w:rPr>
          <w:rFonts w:eastAsia="source serif 4" w:cs="source serif 4" w:ascii="source serif 4" w:hAnsi="source serif 4"/>
          <w:color w:val="000000"/>
        </w:rPr>
        <w:t>Regulatory or compliance drivers.</w:t>
      </w:r>
    </w:p>
    <w:p>
      <w:pPr>
        <w:pStyle w:val="Normal"/>
        <w:numPr>
          <w:ilvl w:val="0"/>
          <w:numId w:val="3"/>
        </w:numPr>
        <w:spacing w:lineRule="auto" w:line="360" w:before="105" w:after="105"/>
        <w:rPr/>
      </w:pPr>
      <w:r>
        <w:rPr>
          <w:rFonts w:eastAsia="source serif 4" w:cs="source serif 4" w:ascii="source serif 4" w:hAnsi="source serif 4"/>
          <w:color w:val="000000"/>
        </w:rPr>
        <w:t>Known security concerns.</w:t>
      </w:r>
    </w:p>
    <w:p>
      <w:pPr>
        <w:pStyle w:val="Normal"/>
        <w:spacing w:lineRule="auto" w:line="360" w:before="0" w:after="210"/>
        <w:rPr/>
      </w:pPr>
      <w:r>
        <w:rPr>
          <w:rFonts w:eastAsia="source serif 4" w:cs="source serif 4" w:ascii="source serif 4" w:hAnsi="source serif 4"/>
          <w:b/>
          <w:color w:val="000000"/>
        </w:rPr>
        <w:t>Template:</w:t>
      </w:r>
      <w:r>
        <w:rPr>
          <w:rFonts w:eastAsia="source serif 4" w:cs="source serif 4" w:ascii="source serif 4" w:hAnsi="source serif 4"/>
          <w:color w:val="000000"/>
        </w:rPr>
        <w:br/>
        <w:t>[Client Name] operates in the [industry] sector and depends on [key systems/applications/processes] to deliver services to [customers/users]. The organization has requested a penetration test to evaluate the security posture of [target environment] in support of [business objective, risk reduction goal, compliance need, or security validation activity].</w:t>
      </w:r>
    </w:p>
    <w:p>
      <w:pPr>
        <w:pStyle w:val="Normal"/>
        <w:spacing w:lineRule="auto" w:line="360" w:before="315" w:after="105"/>
        <w:ind w:left="-30"/>
        <w:rPr/>
      </w:pPr>
      <w:bookmarkStart w:id="5" w:name="bm_4_engagement_objectives"/>
      <w:r>
        <w:rPr>
          <w:rFonts w:eastAsia="source serif 4" w:cs="source serif 4" w:ascii="source serif 4" w:hAnsi="source serif 4"/>
          <w:b/>
          <w:color w:val="000000"/>
          <w:sz w:val="24"/>
        </w:rPr>
        <w:t>4. Engagement Objectives</w:t>
      </w:r>
      <w:bookmarkEnd w:id="5"/>
    </w:p>
    <w:p>
      <w:pPr>
        <w:pStyle w:val="Normal"/>
        <w:spacing w:lineRule="auto" w:line="360" w:before="0" w:after="210"/>
        <w:rPr/>
      </w:pPr>
      <w:r>
        <w:rPr>
          <w:rFonts w:eastAsia="source serif 4" w:cs="source serif 4" w:ascii="source serif 4" w:hAnsi="source serif 4"/>
          <w:color w:val="000000"/>
        </w:rPr>
        <w:t>List 4-8 measurable objectives.</w:t>
      </w:r>
    </w:p>
    <w:p>
      <w:pPr>
        <w:pStyle w:val="Normal"/>
        <w:spacing w:lineRule="auto" w:line="360" w:before="0" w:after="210"/>
        <w:rPr/>
      </w:pPr>
      <w:r>
        <w:rPr>
          <w:rFonts w:eastAsia="source serif 4" w:cs="source serif 4" w:ascii="source serif 4" w:hAnsi="source serif 4"/>
          <w:color w:val="000000"/>
        </w:rPr>
        <w:t>Examples:</w:t>
      </w:r>
    </w:p>
    <w:p>
      <w:pPr>
        <w:pStyle w:val="Normal"/>
        <w:numPr>
          <w:ilvl w:val="0"/>
          <w:numId w:val="4"/>
        </w:numPr>
        <w:spacing w:lineRule="auto" w:line="360" w:before="105" w:after="105"/>
        <w:rPr/>
      </w:pPr>
      <w:r>
        <w:rPr>
          <w:rFonts w:eastAsia="source serif 4" w:cs="source serif 4" w:ascii="source serif 4" w:hAnsi="source serif 4"/>
          <w:color w:val="000000"/>
        </w:rPr>
        <w:t>Identify exploitable vulnerabilities within the defined scope.</w:t>
      </w:r>
    </w:p>
    <w:p>
      <w:pPr>
        <w:pStyle w:val="Normal"/>
        <w:numPr>
          <w:ilvl w:val="0"/>
          <w:numId w:val="4"/>
        </w:numPr>
        <w:spacing w:lineRule="auto" w:line="360" w:before="105" w:after="105"/>
        <w:rPr/>
      </w:pPr>
      <w:r>
        <w:rPr>
          <w:rFonts w:eastAsia="source serif 4" w:cs="source serif 4" w:ascii="source serif 4" w:hAnsi="source serif 4"/>
          <w:color w:val="000000"/>
        </w:rPr>
        <w:t>Validate the effectiveness of existing security controls.</w:t>
      </w:r>
    </w:p>
    <w:p>
      <w:pPr>
        <w:pStyle w:val="Normal"/>
        <w:numPr>
          <w:ilvl w:val="0"/>
          <w:numId w:val="4"/>
        </w:numPr>
        <w:spacing w:lineRule="auto" w:line="360" w:before="105" w:after="105"/>
        <w:rPr/>
      </w:pPr>
      <w:r>
        <w:rPr>
          <w:rFonts w:eastAsia="source serif 4" w:cs="source serif 4" w:ascii="source serif 4" w:hAnsi="source serif 4"/>
          <w:color w:val="000000"/>
        </w:rPr>
        <w:t>Determine the likelihood and business impact of unauthorized access.</w:t>
      </w:r>
    </w:p>
    <w:p>
      <w:pPr>
        <w:pStyle w:val="Normal"/>
        <w:numPr>
          <w:ilvl w:val="0"/>
          <w:numId w:val="4"/>
        </w:numPr>
        <w:spacing w:lineRule="auto" w:line="360" w:before="105" w:after="105"/>
        <w:rPr/>
      </w:pPr>
      <w:r>
        <w:rPr>
          <w:rFonts w:eastAsia="source serif 4" w:cs="source serif 4" w:ascii="source serif 4" w:hAnsi="source serif 4"/>
          <w:color w:val="000000"/>
        </w:rPr>
        <w:t>Assess segmentation between public-facing and internal systems.</w:t>
      </w:r>
    </w:p>
    <w:p>
      <w:pPr>
        <w:pStyle w:val="Normal"/>
        <w:numPr>
          <w:ilvl w:val="0"/>
          <w:numId w:val="4"/>
        </w:numPr>
        <w:spacing w:lineRule="auto" w:line="360" w:before="105" w:after="105"/>
        <w:rPr/>
      </w:pPr>
      <w:r>
        <w:rPr>
          <w:rFonts w:eastAsia="source serif 4" w:cs="source serif 4" w:ascii="source serif 4" w:hAnsi="source serif 4"/>
          <w:color w:val="000000"/>
        </w:rPr>
        <w:t>Evaluate detection and response visibility during simulated attack activity.</w:t>
      </w:r>
    </w:p>
    <w:p>
      <w:pPr>
        <w:pStyle w:val="Normal"/>
        <w:numPr>
          <w:ilvl w:val="0"/>
          <w:numId w:val="4"/>
        </w:numPr>
        <w:spacing w:lineRule="auto" w:line="360" w:before="105" w:after="105"/>
        <w:rPr/>
      </w:pPr>
      <w:r>
        <w:rPr>
          <w:rFonts w:eastAsia="source serif 4" w:cs="source serif 4" w:ascii="source serif 4" w:hAnsi="source serif 4"/>
          <w:color w:val="000000"/>
        </w:rPr>
        <w:t>Provide prioritized remediation recommendations.</w:t>
      </w:r>
    </w:p>
    <w:p>
      <w:pPr>
        <w:pStyle w:val="Normal"/>
        <w:spacing w:lineRule="auto" w:line="360" w:before="315" w:after="105"/>
        <w:ind w:left="-30"/>
        <w:rPr/>
      </w:pPr>
      <w:bookmarkStart w:id="6" w:name="bm_5_scope_of_work"/>
      <w:r>
        <w:rPr>
          <w:rFonts w:eastAsia="source serif 4" w:cs="source serif 4" w:ascii="source serif 4" w:hAnsi="source serif 4"/>
          <w:b/>
          <w:color w:val="000000"/>
          <w:sz w:val="24"/>
        </w:rPr>
        <w:t>5. Scope of Work</w:t>
      </w:r>
      <w:bookmarkEnd w:id="6"/>
    </w:p>
    <w:p>
      <w:pPr>
        <w:pStyle w:val="Normal"/>
        <w:spacing w:lineRule="auto" w:line="360" w:before="315" w:after="105"/>
        <w:ind w:left="-30"/>
        <w:rPr/>
      </w:pPr>
      <w:bookmarkStart w:id="7" w:name="in_scope"/>
      <w:r>
        <w:rPr>
          <w:rFonts w:eastAsia="source serif 4" w:cs="source serif 4" w:ascii="source serif 4" w:hAnsi="source serif 4"/>
          <w:b/>
          <w:color w:val="000000"/>
          <w:sz w:val="24"/>
        </w:rPr>
        <w:t>In Scope</w:t>
      </w:r>
      <w:bookmarkEnd w:id="7"/>
    </w:p>
    <w:p>
      <w:pPr>
        <w:pStyle w:val="Normal"/>
        <w:spacing w:lineRule="auto" w:line="360" w:before="0" w:after="210"/>
        <w:rPr/>
      </w:pPr>
      <w:r>
        <w:rPr>
          <w:rFonts w:eastAsia="source serif 4" w:cs="source serif 4" w:ascii="source serif 4" w:hAnsi="source serif 4"/>
          <w:color w:val="000000"/>
        </w:rPr>
        <w:t>List the exact assets, applications, locations, or environments included.</w:t>
      </w:r>
    </w:p>
    <w:tbl>
      <w:tblPr>
        <w:tblStyle w:val="NormalGrid"/>
        <w:tblW w:w="6211" w:type="dxa"/>
        <w:jc w:val="center"/>
        <w:tblInd w:w="0" w:type="dxa"/>
        <w:tblLayout w:type="fixed"/>
        <w:tblCellMar>
          <w:top w:w="80" w:type="dxa"/>
          <w:left w:w="160" w:type="dxa"/>
          <w:bottom w:w="80" w:type="dxa"/>
          <w:right w:w="160" w:type="dxa"/>
        </w:tblCellMar>
        <w:tblLook w:val="04a0" w:noHBand="0" w:noVBand="1" w:firstColumn="1" w:lastRow="0" w:lastColumn="0" w:firstRow="1"/>
      </w:tblPr>
      <w:tblGrid>
        <w:gridCol w:w="1614"/>
        <w:gridCol w:w="1907"/>
        <w:gridCol w:w="1826"/>
        <w:gridCol w:w="863"/>
      </w:tblGrid>
      <w:tr>
        <w:trPr>
          <w:cantSplit w:val="true"/>
        </w:trPr>
        <w:tc>
          <w:tcPr>
            <w:tcW w:w="1614"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Asset Type</w:t>
            </w:r>
          </w:p>
        </w:tc>
        <w:tc>
          <w:tcPr>
            <w:tcW w:w="1907"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Asset / Identifier</w:t>
            </w:r>
          </w:p>
        </w:tc>
        <w:tc>
          <w:tcPr>
            <w:tcW w:w="1826"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Environment</w:t>
            </w:r>
          </w:p>
        </w:tc>
        <w:tc>
          <w:tcPr>
            <w:tcW w:w="863"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Notes</w:t>
            </w:r>
          </w:p>
        </w:tc>
      </w:tr>
      <w:tr>
        <w:trPr>
          <w:cantSplit w:val="true"/>
        </w:trPr>
        <w:tc>
          <w:tcPr>
            <w:tcW w:w="1614"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External web app</w:t>
            </w:r>
          </w:p>
        </w:tc>
        <w:tc>
          <w:tcPr>
            <w:tcW w:w="1907"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[portal.example.local]</w:t>
            </w:r>
          </w:p>
        </w:tc>
        <w:tc>
          <w:tcPr>
            <w:tcW w:w="1826"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Production / Staging</w:t>
            </w:r>
          </w:p>
        </w:tc>
        <w:tc>
          <w:tcPr>
            <w:tcW w:w="863"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[Notes]</w:t>
            </w:r>
          </w:p>
        </w:tc>
      </w:tr>
      <w:tr>
        <w:trPr>
          <w:cantSplit w:val="true"/>
        </w:trPr>
        <w:tc>
          <w:tcPr>
            <w:tcW w:w="1614"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Public IP range</w:t>
            </w:r>
          </w:p>
        </w:tc>
        <w:tc>
          <w:tcPr>
            <w:tcW w:w="1907"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[x.x.x.x/x]</w:t>
            </w:r>
          </w:p>
        </w:tc>
        <w:tc>
          <w:tcPr>
            <w:tcW w:w="1826"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External</w:t>
            </w:r>
          </w:p>
        </w:tc>
        <w:tc>
          <w:tcPr>
            <w:tcW w:w="863"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[Notes]</w:t>
            </w:r>
          </w:p>
        </w:tc>
      </w:tr>
      <w:tr>
        <w:trPr>
          <w:cantSplit w:val="true"/>
        </w:trPr>
        <w:tc>
          <w:tcPr>
            <w:tcW w:w="1614"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Internal subnet</w:t>
            </w:r>
          </w:p>
        </w:tc>
        <w:tc>
          <w:tcPr>
            <w:tcW w:w="1907"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[10.x.x.0/24]</w:t>
            </w:r>
          </w:p>
        </w:tc>
        <w:tc>
          <w:tcPr>
            <w:tcW w:w="1826"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Internal</w:t>
            </w:r>
          </w:p>
        </w:tc>
        <w:tc>
          <w:tcPr>
            <w:tcW w:w="863"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[Notes]</w:t>
            </w:r>
          </w:p>
        </w:tc>
      </w:tr>
      <w:tr>
        <w:trPr>
          <w:cantSplit w:val="true"/>
        </w:trPr>
        <w:tc>
          <w:tcPr>
            <w:tcW w:w="1614"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Wireless network</w:t>
            </w:r>
          </w:p>
        </w:tc>
        <w:tc>
          <w:tcPr>
            <w:tcW w:w="1907"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[SSID Name]</w:t>
            </w:r>
          </w:p>
        </w:tc>
        <w:tc>
          <w:tcPr>
            <w:tcW w:w="1826"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Office</w:t>
            </w:r>
          </w:p>
        </w:tc>
        <w:tc>
          <w:tcPr>
            <w:tcW w:w="863"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[Notes]</w:t>
            </w:r>
          </w:p>
        </w:tc>
      </w:tr>
      <w:tr>
        <w:trPr>
          <w:cantSplit w:val="true"/>
        </w:trPr>
        <w:tc>
          <w:tcPr>
            <w:tcW w:w="1614"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API</w:t>
            </w:r>
          </w:p>
        </w:tc>
        <w:tc>
          <w:tcPr>
            <w:tcW w:w="1907"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[API name]</w:t>
            </w:r>
          </w:p>
        </w:tc>
        <w:tc>
          <w:tcPr>
            <w:tcW w:w="1826"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Production / Test</w:t>
            </w:r>
          </w:p>
        </w:tc>
        <w:tc>
          <w:tcPr>
            <w:tcW w:w="863"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[Notes]</w:t>
            </w:r>
          </w:p>
        </w:tc>
      </w:tr>
    </w:tbl>
    <w:p>
      <w:pPr>
        <w:pStyle w:val="Normal"/>
        <w:rPr/>
      </w:pPr>
      <w:r>
        <w:rPr/>
      </w:r>
    </w:p>
    <w:p>
      <w:pPr>
        <w:pStyle w:val="Normal"/>
        <w:spacing w:lineRule="auto" w:line="360" w:before="315" w:after="105"/>
        <w:ind w:left="-30"/>
        <w:rPr/>
      </w:pPr>
      <w:bookmarkStart w:id="8" w:name="out_of_scope"/>
      <w:r>
        <w:rPr>
          <w:rFonts w:eastAsia="source serif 4" w:cs="source serif 4" w:ascii="source serif 4" w:hAnsi="source serif 4"/>
          <w:b/>
          <w:color w:val="000000"/>
          <w:sz w:val="24"/>
        </w:rPr>
        <w:t>Out of Scope</w:t>
      </w:r>
      <w:bookmarkEnd w:id="8"/>
    </w:p>
    <w:p>
      <w:pPr>
        <w:pStyle w:val="Normal"/>
        <w:spacing w:lineRule="auto" w:line="360" w:before="0" w:after="210"/>
        <w:rPr/>
      </w:pPr>
      <w:r>
        <w:rPr>
          <w:rFonts w:eastAsia="source serif 4" w:cs="source serif 4" w:ascii="source serif 4" w:hAnsi="source serif 4"/>
          <w:color w:val="000000"/>
        </w:rPr>
        <w:t>Clearly list exclusions.</w:t>
      </w:r>
    </w:p>
    <w:p>
      <w:pPr>
        <w:pStyle w:val="Normal"/>
        <w:spacing w:lineRule="auto" w:line="360" w:before="0" w:after="210"/>
        <w:rPr/>
      </w:pPr>
      <w:r>
        <w:rPr>
          <w:rFonts w:eastAsia="source serif 4" w:cs="source serif 4" w:ascii="source serif 4" w:hAnsi="source serif 4"/>
          <w:color w:val="000000"/>
        </w:rPr>
        <w:t>Examples:</w:t>
      </w:r>
    </w:p>
    <w:p>
      <w:pPr>
        <w:pStyle w:val="Normal"/>
        <w:numPr>
          <w:ilvl w:val="0"/>
          <w:numId w:val="5"/>
        </w:numPr>
        <w:spacing w:lineRule="auto" w:line="360" w:before="105" w:after="105"/>
        <w:rPr/>
      </w:pPr>
      <w:r>
        <w:rPr>
          <w:rFonts w:eastAsia="source serif 4" w:cs="source serif 4" w:ascii="source serif 4" w:hAnsi="source serif 4"/>
          <w:color w:val="000000"/>
        </w:rPr>
        <w:t>Social engineering unless separately approved.</w:t>
      </w:r>
    </w:p>
    <w:p>
      <w:pPr>
        <w:pStyle w:val="Normal"/>
        <w:numPr>
          <w:ilvl w:val="0"/>
          <w:numId w:val="5"/>
        </w:numPr>
        <w:spacing w:lineRule="auto" w:line="360" w:before="105" w:after="105"/>
        <w:rPr/>
      </w:pPr>
      <w:r>
        <w:rPr>
          <w:rFonts w:eastAsia="source serif 4" w:cs="source serif 4" w:ascii="source serif 4" w:hAnsi="source serif 4"/>
          <w:color w:val="000000"/>
        </w:rPr>
        <w:t>Denial-of-service testing.</w:t>
      </w:r>
    </w:p>
    <w:p>
      <w:pPr>
        <w:pStyle w:val="Normal"/>
        <w:numPr>
          <w:ilvl w:val="0"/>
          <w:numId w:val="5"/>
        </w:numPr>
        <w:spacing w:lineRule="auto" w:line="360" w:before="105" w:after="105"/>
        <w:rPr/>
      </w:pPr>
      <w:r>
        <w:rPr>
          <w:rFonts w:eastAsia="source serif 4" w:cs="source serif 4" w:ascii="source serif 4" w:hAnsi="source serif 4"/>
          <w:color w:val="000000"/>
        </w:rPr>
        <w:t>Physical intrusion testing.</w:t>
      </w:r>
    </w:p>
    <w:p>
      <w:pPr>
        <w:pStyle w:val="Normal"/>
        <w:numPr>
          <w:ilvl w:val="0"/>
          <w:numId w:val="5"/>
        </w:numPr>
        <w:spacing w:lineRule="auto" w:line="360" w:before="105" w:after="105"/>
        <w:rPr/>
      </w:pPr>
      <w:r>
        <w:rPr>
          <w:rFonts w:eastAsia="source serif 4" w:cs="source serif 4" w:ascii="source serif 4" w:hAnsi="source serif 4"/>
          <w:color w:val="000000"/>
        </w:rPr>
        <w:t>Third-party hosted systems not owned by the client.</w:t>
      </w:r>
    </w:p>
    <w:p>
      <w:pPr>
        <w:pStyle w:val="Normal"/>
        <w:numPr>
          <w:ilvl w:val="0"/>
          <w:numId w:val="5"/>
        </w:numPr>
        <w:spacing w:lineRule="auto" w:line="360" w:before="105" w:after="105"/>
        <w:rPr/>
      </w:pPr>
      <w:r>
        <w:rPr>
          <w:rFonts w:eastAsia="source serif 4" w:cs="source serif 4" w:ascii="source serif 4" w:hAnsi="source serif 4"/>
          <w:color w:val="000000"/>
        </w:rPr>
        <w:t>Production data modification or destruction.</w:t>
      </w:r>
    </w:p>
    <w:p>
      <w:pPr>
        <w:pStyle w:val="Normal"/>
        <w:spacing w:lineRule="auto" w:line="360" w:before="315" w:after="105"/>
        <w:ind w:left="-30"/>
        <w:rPr/>
      </w:pPr>
      <w:bookmarkStart w:id="9" w:name="bm_6_assumptions_and_constraints"/>
      <w:r>
        <w:rPr>
          <w:rFonts w:eastAsia="source serif 4" w:cs="source serif 4" w:ascii="source serif 4" w:hAnsi="source serif 4"/>
          <w:b/>
          <w:color w:val="000000"/>
          <w:sz w:val="24"/>
        </w:rPr>
        <w:t>6. Assumptions and Constraints</w:t>
      </w:r>
      <w:bookmarkEnd w:id="9"/>
    </w:p>
    <w:p>
      <w:pPr>
        <w:pStyle w:val="Normal"/>
        <w:spacing w:lineRule="auto" w:line="360" w:before="0" w:after="210"/>
        <w:rPr/>
      </w:pPr>
      <w:r>
        <w:rPr>
          <w:rFonts w:eastAsia="source serif 4" w:cs="source serif 4" w:ascii="source serif 4" w:hAnsi="source serif 4"/>
          <w:color w:val="000000"/>
        </w:rPr>
        <w:t>Document assumptions and operational limits.</w:t>
      </w:r>
    </w:p>
    <w:p>
      <w:pPr>
        <w:pStyle w:val="Normal"/>
        <w:spacing w:lineRule="auto" w:line="360" w:before="0" w:after="210"/>
        <w:rPr/>
      </w:pPr>
      <w:r>
        <w:rPr>
          <w:rFonts w:eastAsia="source serif 4" w:cs="source serif 4" w:ascii="source serif 4" w:hAnsi="source serif 4"/>
          <w:color w:val="000000"/>
        </w:rPr>
        <w:t>Examples:</w:t>
      </w:r>
    </w:p>
    <w:p>
      <w:pPr>
        <w:pStyle w:val="Normal"/>
        <w:numPr>
          <w:ilvl w:val="0"/>
          <w:numId w:val="6"/>
        </w:numPr>
        <w:spacing w:lineRule="auto" w:line="360" w:before="105" w:after="105"/>
        <w:rPr/>
      </w:pPr>
      <w:r>
        <w:rPr>
          <w:rFonts w:eastAsia="source serif 4" w:cs="source serif 4" w:ascii="source serif 4" w:hAnsi="source serif 4"/>
          <w:color w:val="000000"/>
        </w:rPr>
        <w:t>Testing will occur only during approved windows.</w:t>
      </w:r>
    </w:p>
    <w:p>
      <w:pPr>
        <w:pStyle w:val="Normal"/>
        <w:numPr>
          <w:ilvl w:val="0"/>
          <w:numId w:val="6"/>
        </w:numPr>
        <w:spacing w:lineRule="auto" w:line="360" w:before="105" w:after="105"/>
        <w:rPr/>
      </w:pPr>
      <w:r>
        <w:rPr>
          <w:rFonts w:eastAsia="source serif 4" w:cs="source serif 4" w:ascii="source serif 4" w:hAnsi="source serif 4"/>
          <w:color w:val="000000"/>
        </w:rPr>
        <w:t>Written authorization will be provided before testing starts.</w:t>
      </w:r>
    </w:p>
    <w:p>
      <w:pPr>
        <w:pStyle w:val="Normal"/>
        <w:numPr>
          <w:ilvl w:val="0"/>
          <w:numId w:val="6"/>
        </w:numPr>
        <w:spacing w:lineRule="auto" w:line="360" w:before="105" w:after="105"/>
        <w:rPr/>
      </w:pPr>
      <w:r>
        <w:rPr>
          <w:rFonts w:eastAsia="source serif 4" w:cs="source serif 4" w:ascii="source serif 4" w:hAnsi="source serif 4"/>
          <w:color w:val="000000"/>
        </w:rPr>
        <w:t>The client will provide emergency and technical contacts.</w:t>
      </w:r>
    </w:p>
    <w:p>
      <w:pPr>
        <w:pStyle w:val="Normal"/>
        <w:numPr>
          <w:ilvl w:val="0"/>
          <w:numId w:val="6"/>
        </w:numPr>
        <w:spacing w:lineRule="auto" w:line="360" w:before="105" w:after="105"/>
        <w:rPr/>
      </w:pPr>
      <w:r>
        <w:rPr>
          <w:rFonts w:eastAsia="source serif 4" w:cs="source serif 4" w:ascii="source serif 4" w:hAnsi="source serif 4"/>
          <w:color w:val="000000"/>
        </w:rPr>
        <w:t>Any high-risk exploitation will require additional approval.</w:t>
      </w:r>
    </w:p>
    <w:p>
      <w:pPr>
        <w:pStyle w:val="Normal"/>
        <w:numPr>
          <w:ilvl w:val="0"/>
          <w:numId w:val="6"/>
        </w:numPr>
        <w:spacing w:lineRule="auto" w:line="360" w:before="105" w:after="105"/>
        <w:rPr/>
      </w:pPr>
      <w:r>
        <w:rPr>
          <w:rFonts w:eastAsia="source serif 4" w:cs="source serif 4" w:ascii="source serif 4" w:hAnsi="source serif 4"/>
          <w:color w:val="000000"/>
        </w:rPr>
        <w:t>Testing may be paused if critical instability is observed.</w:t>
      </w:r>
    </w:p>
    <w:p>
      <w:pPr>
        <w:pStyle w:val="Normal"/>
        <w:spacing w:lineRule="auto" w:line="360" w:before="315" w:after="105"/>
        <w:ind w:left="-30"/>
        <w:rPr/>
      </w:pPr>
      <w:bookmarkStart w:id="10" w:name="bm_7_rules_of_engagement"/>
      <w:r>
        <w:rPr>
          <w:rFonts w:eastAsia="source serif 4" w:cs="source serif 4" w:ascii="source serif 4" w:hAnsi="source serif 4"/>
          <w:b/>
          <w:color w:val="000000"/>
          <w:sz w:val="24"/>
        </w:rPr>
        <w:t>7. Rules of Engagement</w:t>
      </w:r>
      <w:bookmarkEnd w:id="10"/>
    </w:p>
    <w:p>
      <w:pPr>
        <w:pStyle w:val="Normal"/>
        <w:spacing w:lineRule="auto" w:line="360" w:before="0" w:after="210"/>
        <w:rPr/>
      </w:pPr>
      <w:r>
        <w:rPr>
          <w:rFonts w:eastAsia="source serif 4" w:cs="source serif 4" w:ascii="source serif 4" w:hAnsi="source serif 4"/>
          <w:color w:val="000000"/>
        </w:rPr>
        <w:t>PTES begins with pre-engagement interactions that define scope, communications, and expectations before any technical testing begins.</w:t>
      </w:r>
    </w:p>
    <w:p>
      <w:pPr>
        <w:pStyle w:val="Normal"/>
        <w:spacing w:lineRule="auto" w:line="360" w:before="0" w:after="210"/>
        <w:rPr/>
      </w:pPr>
      <w:r>
        <w:rPr>
          <w:rFonts w:eastAsia="source serif 4" w:cs="source serif 4" w:ascii="source serif 4" w:hAnsi="source serif 4"/>
          <w:color w:val="000000"/>
        </w:rPr>
        <w:t>Include:</w:t>
      </w:r>
    </w:p>
    <w:p>
      <w:pPr>
        <w:pStyle w:val="Normal"/>
        <w:numPr>
          <w:ilvl w:val="0"/>
          <w:numId w:val="7"/>
        </w:numPr>
        <w:spacing w:lineRule="auto" w:line="360" w:before="105" w:after="105"/>
        <w:rPr/>
      </w:pPr>
      <w:r>
        <w:rPr>
          <w:rFonts w:eastAsia="source serif 4" w:cs="source serif 4" w:ascii="source serif 4" w:hAnsi="source serif 4"/>
          <w:color w:val="000000"/>
        </w:rPr>
        <w:t>Authorized dates and testing windows.</w:t>
      </w:r>
    </w:p>
    <w:p>
      <w:pPr>
        <w:pStyle w:val="Normal"/>
        <w:numPr>
          <w:ilvl w:val="0"/>
          <w:numId w:val="7"/>
        </w:numPr>
        <w:spacing w:lineRule="auto" w:line="360" w:before="105" w:after="105"/>
        <w:rPr/>
      </w:pPr>
      <w:r>
        <w:rPr>
          <w:rFonts w:eastAsia="source serif 4" w:cs="source serif 4" w:ascii="source serif 4" w:hAnsi="source serif 4"/>
          <w:color w:val="000000"/>
        </w:rPr>
        <w:t>Primary and secondary points of contact.</w:t>
      </w:r>
    </w:p>
    <w:p>
      <w:pPr>
        <w:pStyle w:val="Normal"/>
        <w:numPr>
          <w:ilvl w:val="0"/>
          <w:numId w:val="7"/>
        </w:numPr>
        <w:spacing w:lineRule="auto" w:line="360" w:before="105" w:after="105"/>
        <w:rPr/>
      </w:pPr>
      <w:r>
        <w:rPr>
          <w:rFonts w:eastAsia="source serif 4" w:cs="source serif 4" w:ascii="source serif 4" w:hAnsi="source serif 4"/>
          <w:color w:val="000000"/>
        </w:rPr>
        <w:t>Communication and escalation channels.</w:t>
      </w:r>
    </w:p>
    <w:p>
      <w:pPr>
        <w:pStyle w:val="Normal"/>
        <w:numPr>
          <w:ilvl w:val="0"/>
          <w:numId w:val="7"/>
        </w:numPr>
        <w:spacing w:lineRule="auto" w:line="360" w:before="105" w:after="105"/>
        <w:rPr/>
      </w:pPr>
      <w:r>
        <w:rPr>
          <w:rFonts w:eastAsia="source serif 4" w:cs="source serif 4" w:ascii="source serif 4" w:hAnsi="source serif 4"/>
          <w:color w:val="000000"/>
        </w:rPr>
        <w:t>Stop-test conditions.</w:t>
      </w:r>
    </w:p>
    <w:p>
      <w:pPr>
        <w:pStyle w:val="Normal"/>
        <w:numPr>
          <w:ilvl w:val="0"/>
          <w:numId w:val="7"/>
        </w:numPr>
        <w:spacing w:lineRule="auto" w:line="360" w:before="105" w:after="105"/>
        <w:rPr/>
      </w:pPr>
      <w:r>
        <w:rPr>
          <w:rFonts w:eastAsia="source serif 4" w:cs="source serif 4" w:ascii="source serif 4" w:hAnsi="source serif 4"/>
          <w:color w:val="000000"/>
        </w:rPr>
        <w:t>Evidence handling expectations.</w:t>
      </w:r>
    </w:p>
    <w:p>
      <w:pPr>
        <w:pStyle w:val="Normal"/>
        <w:numPr>
          <w:ilvl w:val="0"/>
          <w:numId w:val="7"/>
        </w:numPr>
        <w:spacing w:lineRule="auto" w:line="360" w:before="105" w:after="105"/>
        <w:rPr/>
      </w:pPr>
      <w:r>
        <w:rPr>
          <w:rFonts w:eastAsia="source serif 4" w:cs="source serif 4" w:ascii="source serif 4" w:hAnsi="source serif 4"/>
          <w:color w:val="000000"/>
        </w:rPr>
        <w:t>Restrictions on persistence, phishing, password spraying, or lateral movement.</w:t>
      </w:r>
    </w:p>
    <w:p>
      <w:pPr>
        <w:pStyle w:val="Normal"/>
        <w:numPr>
          <w:ilvl w:val="0"/>
          <w:numId w:val="7"/>
        </w:numPr>
        <w:spacing w:lineRule="auto" w:line="360" w:before="105" w:after="105"/>
        <w:rPr/>
      </w:pPr>
      <w:r>
        <w:rPr>
          <w:rFonts w:eastAsia="source serif 4" w:cs="source serif 4" w:ascii="source serif 4" w:hAnsi="source serif 4"/>
          <w:color w:val="000000"/>
        </w:rPr>
        <w:t>Approval requirements for credential use and privilege escalation.</w:t>
      </w:r>
    </w:p>
    <w:p>
      <w:pPr>
        <w:pStyle w:val="Normal"/>
        <w:spacing w:lineRule="auto" w:line="360" w:before="0" w:after="210"/>
        <w:rPr/>
      </w:pPr>
      <w:r>
        <w:rPr>
          <w:rFonts w:eastAsia="source serif 4" w:cs="source serif 4" w:ascii="source serif 4" w:hAnsi="source serif 4"/>
          <w:b/>
          <w:color w:val="000000"/>
        </w:rPr>
        <w:t>Template language:</w:t>
      </w:r>
      <w:r>
        <w:rPr>
          <w:rFonts w:eastAsia="source serif 4" w:cs="source serif 4" w:ascii="source serif 4" w:hAnsi="source serif 4"/>
          <w:color w:val="000000"/>
        </w:rPr>
        <w:br/>
        <w:t>All testing activities will be conducted only against explicitly authorized assets and during agreed testing windows. Any critical finding, service disruption, or evidence of active compromise will be escalated immediately to the designated client contacts.</w:t>
      </w:r>
    </w:p>
    <w:p>
      <w:pPr>
        <w:pStyle w:val="Normal"/>
        <w:spacing w:lineRule="auto" w:line="360" w:before="315" w:after="105"/>
        <w:ind w:left="-30"/>
        <w:rPr/>
      </w:pPr>
      <w:bookmarkStart w:id="11" w:name="bm_8_testing_methodology"/>
      <w:r>
        <w:rPr>
          <w:rFonts w:eastAsia="source serif 4" w:cs="source serif 4" w:ascii="source serif 4" w:hAnsi="source serif 4"/>
          <w:b/>
          <w:color w:val="000000"/>
          <w:sz w:val="24"/>
        </w:rPr>
        <w:t>8. Testing Methodology</w:t>
      </w:r>
      <w:bookmarkEnd w:id="11"/>
    </w:p>
    <w:p>
      <w:pPr>
        <w:pStyle w:val="Normal"/>
        <w:spacing w:lineRule="auto" w:line="360" w:before="0" w:after="210"/>
        <w:rPr/>
      </w:pPr>
      <w:r>
        <w:rPr>
          <w:rFonts w:eastAsia="source serif 4" w:cs="source serif 4" w:ascii="source serif 4" w:hAnsi="source serif 4"/>
          <w:color w:val="000000"/>
        </w:rPr>
        <w:t>State that the methodology is informed by PTES and NIST SP 800-115.</w:t>
      </w:r>
    </w:p>
    <w:p>
      <w:pPr>
        <w:pStyle w:val="Normal"/>
        <w:spacing w:lineRule="auto" w:line="360" w:before="315" w:after="105"/>
        <w:ind w:left="-30"/>
        <w:rPr/>
      </w:pPr>
      <w:bookmarkStart w:id="12" w:name="bm_8_1_ptes_mapping"/>
      <w:r>
        <w:rPr>
          <w:rFonts w:eastAsia="source serif 4" w:cs="source serif 4" w:ascii="source serif 4" w:hAnsi="source serif 4"/>
          <w:b/>
          <w:color w:val="000000"/>
          <w:sz w:val="24"/>
        </w:rPr>
        <w:t>8.1 PTES Mapping</w:t>
      </w:r>
      <w:bookmarkEnd w:id="12"/>
    </w:p>
    <w:p>
      <w:pPr>
        <w:pStyle w:val="Normal"/>
        <w:spacing w:lineRule="auto" w:line="360" w:before="0" w:after="210"/>
        <w:rPr/>
      </w:pPr>
      <w:r>
        <w:rPr>
          <w:rFonts w:eastAsia="source serif 4" w:cs="source serif 4" w:ascii="source serif 4" w:hAnsi="source serif 4"/>
          <w:color w:val="000000"/>
        </w:rPr>
        <w:t>PTES defines seven sections: pre-engagement interactions, intelligence gathering, threat modeling, vulnerability analysis, exploitation, post exploitation, and reporting.</w:t>
      </w:r>
    </w:p>
    <w:tbl>
      <w:tblPr>
        <w:tblStyle w:val="NormalGrid"/>
        <w:tblW w:w="7851" w:type="dxa"/>
        <w:jc w:val="center"/>
        <w:tblInd w:w="0" w:type="dxa"/>
        <w:tblLayout w:type="fixed"/>
        <w:tblCellMar>
          <w:top w:w="80" w:type="dxa"/>
          <w:left w:w="160" w:type="dxa"/>
          <w:bottom w:w="80" w:type="dxa"/>
          <w:right w:w="160" w:type="dxa"/>
        </w:tblCellMar>
        <w:tblLook w:val="04a0" w:noHBand="0" w:noVBand="1" w:firstColumn="1" w:lastRow="0" w:lastColumn="0" w:firstRow="1"/>
      </w:tblPr>
      <w:tblGrid>
        <w:gridCol w:w="2440"/>
        <w:gridCol w:w="5410"/>
      </w:tblGrid>
      <w:tr>
        <w:trPr>
          <w:cantSplit w:val="true"/>
        </w:trPr>
        <w:tc>
          <w:tcPr>
            <w:tcW w:w="2440"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PTES Phase</w:t>
            </w:r>
          </w:p>
        </w:tc>
        <w:tc>
          <w:tcPr>
            <w:tcW w:w="5410"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How It Applies in This Proposal</w:t>
            </w:r>
          </w:p>
        </w:tc>
      </w:tr>
      <w:tr>
        <w:trPr>
          <w:cantSplit w:val="true"/>
        </w:trPr>
        <w:tc>
          <w:tcPr>
            <w:tcW w:w="2440"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Pre-engagement Interactions</w:t>
            </w:r>
          </w:p>
        </w:tc>
        <w:tc>
          <w:tcPr>
            <w:tcW w:w="5410"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Define scope, authorization, contacts, constraints, and success criteria.</w:t>
            </w:r>
          </w:p>
        </w:tc>
      </w:tr>
      <w:tr>
        <w:trPr>
          <w:cantSplit w:val="true"/>
        </w:trPr>
        <w:tc>
          <w:tcPr>
            <w:tcW w:w="2440"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Intelligence Gathering</w:t>
            </w:r>
          </w:p>
        </w:tc>
        <w:tc>
          <w:tcPr>
            <w:tcW w:w="5410"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Collect passive and active information on in-scope assets.</w:t>
            </w:r>
          </w:p>
        </w:tc>
      </w:tr>
      <w:tr>
        <w:trPr>
          <w:cantSplit w:val="true"/>
        </w:trPr>
        <w:tc>
          <w:tcPr>
            <w:tcW w:w="2440"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Threat Modeling</w:t>
            </w:r>
          </w:p>
        </w:tc>
        <w:tc>
          <w:tcPr>
            <w:tcW w:w="5410"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Identify likely threat actors, attack paths, and high-value assets.</w:t>
            </w:r>
          </w:p>
        </w:tc>
      </w:tr>
      <w:tr>
        <w:trPr>
          <w:cantSplit w:val="true"/>
        </w:trPr>
        <w:tc>
          <w:tcPr>
            <w:tcW w:w="2440"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Vulnerability Analysis</w:t>
            </w:r>
          </w:p>
        </w:tc>
        <w:tc>
          <w:tcPr>
            <w:tcW w:w="5410"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Validate weaknesses through enumeration and analysis.</w:t>
            </w:r>
          </w:p>
        </w:tc>
      </w:tr>
      <w:tr>
        <w:trPr>
          <w:cantSplit w:val="true"/>
        </w:trPr>
        <w:tc>
          <w:tcPr>
            <w:tcW w:w="2440"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Exploitation</w:t>
            </w:r>
          </w:p>
        </w:tc>
        <w:tc>
          <w:tcPr>
            <w:tcW w:w="5410"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Attempt controlled exploitation of approved findings.</w:t>
            </w:r>
          </w:p>
        </w:tc>
      </w:tr>
      <w:tr>
        <w:trPr>
          <w:cantSplit w:val="true"/>
        </w:trPr>
        <w:tc>
          <w:tcPr>
            <w:tcW w:w="2440"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Post Exploitation</w:t>
            </w:r>
          </w:p>
        </w:tc>
        <w:tc>
          <w:tcPr>
            <w:tcW w:w="5410"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Assess impact, privilege level, data exposure, and pivoting risk.</w:t>
            </w:r>
          </w:p>
        </w:tc>
      </w:tr>
      <w:tr>
        <w:trPr>
          <w:cantSplit w:val="true"/>
        </w:trPr>
        <w:tc>
          <w:tcPr>
            <w:tcW w:w="2440"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Reporting</w:t>
            </w:r>
          </w:p>
        </w:tc>
        <w:tc>
          <w:tcPr>
            <w:tcW w:w="5410"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Deliver technical findings, risk context, and remediation guidance.</w:t>
            </w:r>
          </w:p>
        </w:tc>
      </w:tr>
    </w:tbl>
    <w:p>
      <w:pPr>
        <w:pStyle w:val="Normal"/>
        <w:rPr/>
      </w:pPr>
      <w:r>
        <w:rPr/>
      </w:r>
    </w:p>
    <w:p>
      <w:pPr>
        <w:pStyle w:val="Normal"/>
        <w:spacing w:lineRule="auto" w:line="360" w:before="315" w:after="105"/>
        <w:ind w:left="-30"/>
        <w:rPr/>
      </w:pPr>
      <w:bookmarkStart w:id="13" w:name="bm_8_2_nist_sp_800_115_alignment"/>
      <w:r>
        <w:rPr>
          <w:rFonts w:eastAsia="source serif 4" w:cs="source serif 4" w:ascii="source serif 4" w:hAnsi="source serif 4"/>
          <w:b/>
          <w:color w:val="000000"/>
          <w:sz w:val="24"/>
        </w:rPr>
        <w:t>8.2 NIST SP 800-115 Alignment</w:t>
      </w:r>
      <w:bookmarkEnd w:id="13"/>
    </w:p>
    <w:p>
      <w:pPr>
        <w:pStyle w:val="Normal"/>
        <w:spacing w:lineRule="auto" w:line="360" w:before="0" w:after="210"/>
        <w:rPr/>
      </w:pPr>
      <w:r>
        <w:rPr>
          <w:rFonts w:eastAsia="source serif 4" w:cs="source serif 4" w:ascii="source serif 4" w:hAnsi="source serif 4"/>
          <w:color w:val="000000"/>
        </w:rPr>
        <w:t>NIST SP 800-115 is a technical guide to information security testing and assessment.</w:t>
      </w:r>
    </w:p>
    <w:p>
      <w:pPr>
        <w:pStyle w:val="Normal"/>
        <w:spacing w:lineRule="auto" w:line="360" w:before="0" w:after="210"/>
        <w:rPr/>
      </w:pPr>
      <w:r>
        <w:rPr>
          <w:rFonts w:eastAsia="source serif 4" w:cs="source serif 4" w:ascii="source serif 4" w:hAnsi="source serif 4"/>
          <w:color w:val="000000"/>
        </w:rPr>
        <w:t>Describe your approach using three broad activity groups:</w:t>
      </w:r>
    </w:p>
    <w:p>
      <w:pPr>
        <w:pStyle w:val="Normal"/>
        <w:numPr>
          <w:ilvl w:val="0"/>
          <w:numId w:val="8"/>
        </w:numPr>
        <w:spacing w:lineRule="auto" w:line="360" w:before="105" w:after="105"/>
        <w:rPr/>
      </w:pPr>
      <w:r>
        <w:rPr>
          <w:rFonts w:eastAsia="source serif 4" w:cs="source serif 4" w:ascii="source serif 4" w:hAnsi="source serif 4"/>
          <w:b/>
          <w:color w:val="000000"/>
        </w:rPr>
        <w:t>Planning:</w:t>
      </w:r>
      <w:r>
        <w:rPr>
          <w:rFonts w:eastAsia="source serif 4" w:cs="source serif 4" w:ascii="source serif 4" w:hAnsi="source serif 4"/>
          <w:color w:val="000000"/>
        </w:rPr>
        <w:t xml:space="preserve"> scope definition, approvals, logistics, risk handling, and test coordination.</w:t>
      </w:r>
    </w:p>
    <w:p>
      <w:pPr>
        <w:pStyle w:val="Normal"/>
        <w:numPr>
          <w:ilvl w:val="0"/>
          <w:numId w:val="8"/>
        </w:numPr>
        <w:spacing w:lineRule="auto" w:line="360" w:before="105" w:after="105"/>
        <w:rPr/>
      </w:pPr>
      <w:r>
        <w:rPr>
          <w:rFonts w:eastAsia="source serif 4" w:cs="source serif 4" w:ascii="source serif 4" w:hAnsi="source serif 4"/>
          <w:b/>
          <w:color w:val="000000"/>
        </w:rPr>
        <w:t>Execution:</w:t>
      </w:r>
      <w:r>
        <w:rPr>
          <w:rFonts w:eastAsia="source serif 4" w:cs="source serif 4" w:ascii="source serif 4" w:hAnsi="source serif 4"/>
          <w:color w:val="000000"/>
        </w:rPr>
        <w:t xml:space="preserve"> discovery, verification, controlled attack activity, and evidence collection.</w:t>
      </w:r>
    </w:p>
    <w:p>
      <w:pPr>
        <w:pStyle w:val="Normal"/>
        <w:numPr>
          <w:ilvl w:val="0"/>
          <w:numId w:val="8"/>
        </w:numPr>
        <w:spacing w:lineRule="auto" w:line="360" w:before="105" w:after="105"/>
        <w:rPr/>
      </w:pPr>
      <w:r>
        <w:rPr>
          <w:rFonts w:eastAsia="source serif 4" w:cs="source serif 4" w:ascii="source serif 4" w:hAnsi="source serif 4"/>
          <w:b/>
          <w:color w:val="000000"/>
        </w:rPr>
        <w:t>Post-testing:</w:t>
      </w:r>
      <w:r>
        <w:rPr>
          <w:rFonts w:eastAsia="source serif 4" w:cs="source serif 4" w:ascii="source serif 4" w:hAnsi="source serif 4"/>
          <w:color w:val="000000"/>
        </w:rPr>
        <w:t xml:space="preserve"> analysis, reporting, debriefing, and remediation guidance.</w:t>
      </w:r>
    </w:p>
    <w:p>
      <w:pPr>
        <w:pStyle w:val="Normal"/>
        <w:spacing w:lineRule="auto" w:line="360" w:before="315" w:after="105"/>
        <w:ind w:left="-30"/>
        <w:rPr/>
      </w:pPr>
      <w:bookmarkStart w:id="14" w:name="bm_8_3_testing_techniques"/>
      <w:r>
        <w:rPr>
          <w:rFonts w:eastAsia="source serif 4" w:cs="source serif 4" w:ascii="source serif 4" w:hAnsi="source serif 4"/>
          <w:b/>
          <w:color w:val="000000"/>
          <w:sz w:val="24"/>
        </w:rPr>
        <w:t>8.3 Testing Techniques</w:t>
      </w:r>
      <w:bookmarkEnd w:id="14"/>
    </w:p>
    <w:p>
      <w:pPr>
        <w:pStyle w:val="Normal"/>
        <w:spacing w:lineRule="auto" w:line="360" w:before="0" w:after="210"/>
        <w:rPr/>
      </w:pPr>
      <w:r>
        <w:rPr>
          <w:rFonts w:eastAsia="source serif 4" w:cs="source serif 4" w:ascii="source serif 4" w:hAnsi="source serif 4"/>
          <w:color w:val="000000"/>
        </w:rPr>
        <w:t>Select the techniques that fit the scenario:</w:t>
      </w:r>
    </w:p>
    <w:p>
      <w:pPr>
        <w:pStyle w:val="Normal"/>
        <w:numPr>
          <w:ilvl w:val="0"/>
          <w:numId w:val="9"/>
        </w:numPr>
        <w:spacing w:lineRule="auto" w:line="360" w:before="105" w:after="105"/>
        <w:rPr/>
      </w:pPr>
      <w:r>
        <w:rPr>
          <w:rFonts w:eastAsia="source serif 4" w:cs="source serif 4" w:ascii="source serif 4" w:hAnsi="source serif 4"/>
          <w:color w:val="000000"/>
        </w:rPr>
        <w:t>External network penetration testing.</w:t>
      </w:r>
    </w:p>
    <w:p>
      <w:pPr>
        <w:pStyle w:val="Normal"/>
        <w:numPr>
          <w:ilvl w:val="0"/>
          <w:numId w:val="9"/>
        </w:numPr>
        <w:spacing w:lineRule="auto" w:line="360" w:before="105" w:after="105"/>
        <w:rPr/>
      </w:pPr>
      <w:r>
        <w:rPr>
          <w:rFonts w:eastAsia="source serif 4" w:cs="source serif 4" w:ascii="source serif 4" w:hAnsi="source serif 4"/>
          <w:color w:val="000000"/>
        </w:rPr>
        <w:t>Internal network penetration testing.</w:t>
      </w:r>
    </w:p>
    <w:p>
      <w:pPr>
        <w:pStyle w:val="Normal"/>
        <w:numPr>
          <w:ilvl w:val="0"/>
          <w:numId w:val="9"/>
        </w:numPr>
        <w:spacing w:lineRule="auto" w:line="360" w:before="105" w:after="105"/>
        <w:rPr/>
      </w:pPr>
      <w:r>
        <w:rPr>
          <w:rFonts w:eastAsia="source serif 4" w:cs="source serif 4" w:ascii="source serif 4" w:hAnsi="source serif 4"/>
          <w:color w:val="000000"/>
        </w:rPr>
        <w:t>Web application testing.</w:t>
      </w:r>
    </w:p>
    <w:p>
      <w:pPr>
        <w:pStyle w:val="Normal"/>
        <w:numPr>
          <w:ilvl w:val="0"/>
          <w:numId w:val="9"/>
        </w:numPr>
        <w:spacing w:lineRule="auto" w:line="360" w:before="105" w:after="105"/>
        <w:rPr/>
      </w:pPr>
      <w:r>
        <w:rPr>
          <w:rFonts w:eastAsia="source serif 4" w:cs="source serif 4" w:ascii="source serif 4" w:hAnsi="source serif 4"/>
          <w:color w:val="000000"/>
        </w:rPr>
        <w:t>API security testing.</w:t>
      </w:r>
    </w:p>
    <w:p>
      <w:pPr>
        <w:pStyle w:val="Normal"/>
        <w:numPr>
          <w:ilvl w:val="0"/>
          <w:numId w:val="9"/>
        </w:numPr>
        <w:spacing w:lineRule="auto" w:line="360" w:before="105" w:after="105"/>
        <w:rPr/>
      </w:pPr>
      <w:r>
        <w:rPr>
          <w:rFonts w:eastAsia="source serif 4" w:cs="source serif 4" w:ascii="source serif 4" w:hAnsi="source serif 4"/>
          <w:color w:val="000000"/>
        </w:rPr>
        <w:t>Wireless security testing.</w:t>
      </w:r>
    </w:p>
    <w:p>
      <w:pPr>
        <w:pStyle w:val="Normal"/>
        <w:numPr>
          <w:ilvl w:val="0"/>
          <w:numId w:val="9"/>
        </w:numPr>
        <w:spacing w:lineRule="auto" w:line="360" w:before="105" w:after="105"/>
        <w:rPr/>
      </w:pPr>
      <w:r>
        <w:rPr>
          <w:rFonts w:eastAsia="source serif 4" w:cs="source serif 4" w:ascii="source serif 4" w:hAnsi="source serif 4"/>
          <w:color w:val="000000"/>
        </w:rPr>
        <w:t>Configuration and service enumeration.</w:t>
      </w:r>
    </w:p>
    <w:p>
      <w:pPr>
        <w:pStyle w:val="Normal"/>
        <w:numPr>
          <w:ilvl w:val="0"/>
          <w:numId w:val="9"/>
        </w:numPr>
        <w:spacing w:lineRule="auto" w:line="360" w:before="105" w:after="105"/>
        <w:rPr/>
      </w:pPr>
      <w:r>
        <w:rPr>
          <w:rFonts w:eastAsia="source serif 4" w:cs="source serif 4" w:ascii="source serif 4" w:hAnsi="source serif 4"/>
          <w:color w:val="000000"/>
        </w:rPr>
        <w:t>Manual validation of vulnerabilities.</w:t>
      </w:r>
    </w:p>
    <w:p>
      <w:pPr>
        <w:pStyle w:val="Normal"/>
        <w:numPr>
          <w:ilvl w:val="0"/>
          <w:numId w:val="9"/>
        </w:numPr>
        <w:spacing w:lineRule="auto" w:line="360" w:before="105" w:after="105"/>
        <w:rPr/>
      </w:pPr>
      <w:r>
        <w:rPr>
          <w:rFonts w:eastAsia="source serif 4" w:cs="source serif 4" w:ascii="source serif 4" w:hAnsi="source serif 4"/>
          <w:color w:val="000000"/>
        </w:rPr>
        <w:t>Limited credentialed testing, if authorized.</w:t>
      </w:r>
    </w:p>
    <w:p>
      <w:pPr>
        <w:pStyle w:val="Normal"/>
        <w:spacing w:lineRule="auto" w:line="360" w:before="315" w:after="105"/>
        <w:ind w:left="-30"/>
        <w:rPr/>
      </w:pPr>
      <w:bookmarkStart w:id="15" w:name="bm_9_deliverables"/>
      <w:r>
        <w:rPr>
          <w:rFonts w:eastAsia="source serif 4" w:cs="source serif 4" w:ascii="source serif 4" w:hAnsi="source serif 4"/>
          <w:b/>
          <w:color w:val="000000"/>
          <w:sz w:val="24"/>
        </w:rPr>
        <w:t>9. Deliverables</w:t>
      </w:r>
      <w:bookmarkEnd w:id="15"/>
    </w:p>
    <w:p>
      <w:pPr>
        <w:pStyle w:val="Normal"/>
        <w:spacing w:lineRule="auto" w:line="360" w:before="0" w:after="210"/>
        <w:rPr/>
      </w:pPr>
      <w:r>
        <w:rPr>
          <w:rFonts w:eastAsia="source serif 4" w:cs="source serif 4" w:ascii="source serif 4" w:hAnsi="source serif 4"/>
          <w:color w:val="000000"/>
        </w:rPr>
        <w:t>List all expected outputs.</w:t>
      </w:r>
    </w:p>
    <w:p>
      <w:pPr>
        <w:pStyle w:val="Normal"/>
        <w:spacing w:lineRule="auto" w:line="360" w:before="0" w:after="210"/>
        <w:rPr/>
      </w:pPr>
      <w:r>
        <w:rPr>
          <w:rFonts w:eastAsia="source serif 4" w:cs="source serif 4" w:ascii="source serif 4" w:hAnsi="source serif 4"/>
          <w:color w:val="000000"/>
        </w:rPr>
        <w:t>Examples:</w:t>
      </w:r>
    </w:p>
    <w:p>
      <w:pPr>
        <w:pStyle w:val="Normal"/>
        <w:numPr>
          <w:ilvl w:val="0"/>
          <w:numId w:val="10"/>
        </w:numPr>
        <w:spacing w:lineRule="auto" w:line="360" w:before="105" w:after="105"/>
        <w:rPr/>
      </w:pPr>
      <w:r>
        <w:rPr>
          <w:rFonts w:eastAsia="source serif 4" w:cs="source serif 4" w:ascii="source serif 4" w:hAnsi="source serif 4"/>
          <w:color w:val="000000"/>
        </w:rPr>
        <w:t>Penetration testing proposal approval record.</w:t>
      </w:r>
    </w:p>
    <w:p>
      <w:pPr>
        <w:pStyle w:val="Normal"/>
        <w:numPr>
          <w:ilvl w:val="0"/>
          <w:numId w:val="10"/>
        </w:numPr>
        <w:spacing w:lineRule="auto" w:line="360" w:before="105" w:after="105"/>
        <w:rPr/>
      </w:pPr>
      <w:r>
        <w:rPr>
          <w:rFonts w:eastAsia="source serif 4" w:cs="source serif 4" w:ascii="source serif 4" w:hAnsi="source serif 4"/>
          <w:color w:val="000000"/>
        </w:rPr>
        <w:t>Rules of engagement document.</w:t>
      </w:r>
    </w:p>
    <w:p>
      <w:pPr>
        <w:pStyle w:val="Normal"/>
        <w:numPr>
          <w:ilvl w:val="0"/>
          <w:numId w:val="10"/>
        </w:numPr>
        <w:spacing w:lineRule="auto" w:line="360" w:before="105" w:after="105"/>
        <w:rPr/>
      </w:pPr>
      <w:r>
        <w:rPr>
          <w:rFonts w:eastAsia="source serif 4" w:cs="source serif 4" w:ascii="source serif 4" w:hAnsi="source serif 4"/>
          <w:color w:val="000000"/>
        </w:rPr>
        <w:t>Status updates during testing.</w:t>
      </w:r>
    </w:p>
    <w:p>
      <w:pPr>
        <w:pStyle w:val="Normal"/>
        <w:numPr>
          <w:ilvl w:val="0"/>
          <w:numId w:val="10"/>
        </w:numPr>
        <w:spacing w:lineRule="auto" w:line="360" w:before="105" w:after="105"/>
        <w:rPr/>
      </w:pPr>
      <w:r>
        <w:rPr>
          <w:rFonts w:eastAsia="source serif 4" w:cs="source serif 4" w:ascii="source serif 4" w:hAnsi="source serif 4"/>
          <w:color w:val="000000"/>
        </w:rPr>
        <w:t>Final penetration testing report.</w:t>
      </w:r>
    </w:p>
    <w:p>
      <w:pPr>
        <w:pStyle w:val="Normal"/>
        <w:numPr>
          <w:ilvl w:val="0"/>
          <w:numId w:val="10"/>
        </w:numPr>
        <w:spacing w:lineRule="auto" w:line="360" w:before="105" w:after="105"/>
        <w:rPr/>
      </w:pPr>
      <w:r>
        <w:rPr>
          <w:rFonts w:eastAsia="source serif 4" w:cs="source serif 4" w:ascii="source serif 4" w:hAnsi="source serif 4"/>
          <w:color w:val="000000"/>
        </w:rPr>
        <w:t>Executive summary for management.</w:t>
      </w:r>
    </w:p>
    <w:p>
      <w:pPr>
        <w:pStyle w:val="Normal"/>
        <w:numPr>
          <w:ilvl w:val="0"/>
          <w:numId w:val="10"/>
        </w:numPr>
        <w:spacing w:lineRule="auto" w:line="360" w:before="105" w:after="105"/>
        <w:rPr/>
      </w:pPr>
      <w:r>
        <w:rPr>
          <w:rFonts w:eastAsia="source serif 4" w:cs="source serif 4" w:ascii="source serif 4" w:hAnsi="source serif 4"/>
          <w:color w:val="000000"/>
        </w:rPr>
        <w:t>Technical findings register with severity, evidence, and remediation.</w:t>
      </w:r>
    </w:p>
    <w:p>
      <w:pPr>
        <w:pStyle w:val="Normal"/>
        <w:numPr>
          <w:ilvl w:val="0"/>
          <w:numId w:val="10"/>
        </w:numPr>
        <w:spacing w:lineRule="auto" w:line="360" w:before="105" w:after="105"/>
        <w:rPr/>
      </w:pPr>
      <w:r>
        <w:rPr>
          <w:rFonts w:eastAsia="source serif 4" w:cs="source serif 4" w:ascii="source serif 4" w:hAnsi="source serif 4"/>
          <w:color w:val="000000"/>
        </w:rPr>
        <w:t>Debrief presentation or walkthrough.</w:t>
      </w:r>
    </w:p>
    <w:p>
      <w:pPr>
        <w:pStyle w:val="Normal"/>
        <w:spacing w:lineRule="auto" w:line="360" w:before="315" w:after="105"/>
        <w:ind w:left="-30"/>
        <w:rPr/>
      </w:pPr>
      <w:bookmarkStart w:id="16" w:name="bm_10_risk_rating_approach"/>
      <w:r>
        <w:rPr>
          <w:rFonts w:eastAsia="source serif 4" w:cs="source serif 4" w:ascii="source serif 4" w:hAnsi="source serif 4"/>
          <w:b/>
          <w:color w:val="000000"/>
          <w:sz w:val="24"/>
        </w:rPr>
        <w:t>10. Risk Rating Approach</w:t>
      </w:r>
      <w:bookmarkEnd w:id="16"/>
    </w:p>
    <w:p>
      <w:pPr>
        <w:pStyle w:val="Normal"/>
        <w:spacing w:lineRule="auto" w:line="360" w:before="0" w:after="210"/>
        <w:rPr/>
      </w:pPr>
      <w:r>
        <w:rPr>
          <w:rFonts w:eastAsia="source serif 4" w:cs="source serif 4" w:ascii="source serif 4" w:hAnsi="source serif 4"/>
          <w:color w:val="000000"/>
        </w:rPr>
        <w:t>Explain how findings will be prioritized.</w:t>
      </w:r>
    </w:p>
    <w:p>
      <w:pPr>
        <w:pStyle w:val="Normal"/>
        <w:spacing w:lineRule="auto" w:line="360" w:before="0" w:after="210"/>
        <w:rPr/>
      </w:pPr>
      <w:r>
        <w:rPr>
          <w:rFonts w:eastAsia="source serif 4" w:cs="source serif 4" w:ascii="source serif 4" w:hAnsi="source serif 4"/>
          <w:b/>
          <w:color w:val="000000"/>
        </w:rPr>
        <w:t>Template:</w:t>
      </w:r>
      <w:r>
        <w:rPr>
          <w:rFonts w:eastAsia="source serif 4" w:cs="source serif 4" w:ascii="source serif 4" w:hAnsi="source serif 4"/>
          <w:color w:val="000000"/>
        </w:rPr>
        <w:br/>
        <w:t>Findings will be rated using a defined severity model that considers likelihood, exploitability, business impact, exposure, and ease of remediation. Ratings may be expressed as Critical, High, Medium, Low, or Informational.</w:t>
      </w:r>
    </w:p>
    <w:p>
      <w:pPr>
        <w:pStyle w:val="Normal"/>
        <w:spacing w:lineRule="auto" w:line="360" w:before="0" w:after="210"/>
        <w:rPr/>
      </w:pPr>
      <w:r>
        <w:rPr>
          <w:rFonts w:eastAsia="source serif 4" w:cs="source serif 4" w:ascii="source serif 4" w:hAnsi="source serif 4"/>
          <w:color w:val="000000"/>
        </w:rPr>
        <w:t>Optionally add:</w:t>
      </w:r>
    </w:p>
    <w:p>
      <w:pPr>
        <w:pStyle w:val="Normal"/>
        <w:numPr>
          <w:ilvl w:val="0"/>
          <w:numId w:val="11"/>
        </w:numPr>
        <w:spacing w:lineRule="auto" w:line="360" w:before="105" w:after="105"/>
        <w:rPr/>
      </w:pPr>
      <w:r>
        <w:rPr>
          <w:rFonts w:eastAsia="source serif 4" w:cs="source serif 4" w:ascii="source serif 4" w:hAnsi="source serif 4"/>
          <w:color w:val="000000"/>
        </w:rPr>
        <w:t>CVSS reference.</w:t>
      </w:r>
    </w:p>
    <w:p>
      <w:pPr>
        <w:pStyle w:val="Normal"/>
        <w:numPr>
          <w:ilvl w:val="0"/>
          <w:numId w:val="11"/>
        </w:numPr>
        <w:spacing w:lineRule="auto" w:line="360" w:before="105" w:after="105"/>
        <w:rPr/>
      </w:pPr>
      <w:r>
        <w:rPr>
          <w:rFonts w:eastAsia="source serif 4" w:cs="source serif 4" w:ascii="source serif 4" w:hAnsi="source serif 4"/>
          <w:color w:val="000000"/>
        </w:rPr>
        <w:t>Business criticality modifiers.</w:t>
      </w:r>
    </w:p>
    <w:p>
      <w:pPr>
        <w:pStyle w:val="Normal"/>
        <w:numPr>
          <w:ilvl w:val="0"/>
          <w:numId w:val="11"/>
        </w:numPr>
        <w:spacing w:lineRule="auto" w:line="360" w:before="105" w:after="105"/>
        <w:rPr/>
      </w:pPr>
      <w:r>
        <w:rPr>
          <w:rFonts w:eastAsia="source serif 4" w:cs="source serif 4" w:ascii="source serif 4" w:hAnsi="source serif 4"/>
          <w:color w:val="000000"/>
        </w:rPr>
        <w:t>Whether exploit proof-of-concept was demonstrated.</w:t>
      </w:r>
    </w:p>
    <w:p>
      <w:pPr>
        <w:pStyle w:val="Normal"/>
        <w:spacing w:lineRule="auto" w:line="360" w:before="315" w:after="105"/>
        <w:ind w:left="-30"/>
        <w:rPr/>
      </w:pPr>
      <w:bookmarkStart w:id="17" w:name="bm_11_team_structure_and_responsi_4b1e19"/>
      <w:r>
        <w:rPr>
          <w:rFonts w:eastAsia="source serif 4" w:cs="source serif 4" w:ascii="source serif 4" w:hAnsi="source serif 4"/>
          <w:b/>
          <w:color w:val="000000"/>
          <w:sz w:val="24"/>
        </w:rPr>
        <w:t>11. Team Structure and Responsibilities</w:t>
      </w:r>
      <w:bookmarkEnd w:id="17"/>
    </w:p>
    <w:tbl>
      <w:tblPr>
        <w:tblStyle w:val="NormalGrid"/>
        <w:tblW w:w="6398" w:type="dxa"/>
        <w:jc w:val="center"/>
        <w:tblInd w:w="0" w:type="dxa"/>
        <w:tblLayout w:type="fixed"/>
        <w:tblCellMar>
          <w:top w:w="80" w:type="dxa"/>
          <w:left w:w="160" w:type="dxa"/>
          <w:bottom w:w="80" w:type="dxa"/>
          <w:right w:w="160" w:type="dxa"/>
        </w:tblCellMar>
        <w:tblLook w:val="04a0" w:noHBand="0" w:noVBand="1" w:firstColumn="1" w:lastRow="0" w:lastColumn="0" w:firstRow="1"/>
      </w:tblPr>
      <w:tblGrid>
        <w:gridCol w:w="2367"/>
        <w:gridCol w:w="4030"/>
      </w:tblGrid>
      <w:tr>
        <w:trPr>
          <w:cantSplit w:val="true"/>
        </w:trPr>
        <w:tc>
          <w:tcPr>
            <w:tcW w:w="2367"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Role</w:t>
            </w:r>
          </w:p>
        </w:tc>
        <w:tc>
          <w:tcPr>
            <w:tcW w:w="4030"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Responsibility</w:t>
            </w:r>
          </w:p>
        </w:tc>
      </w:tr>
      <w:tr>
        <w:trPr>
          <w:cantSplit w:val="true"/>
        </w:trPr>
        <w:tc>
          <w:tcPr>
            <w:tcW w:w="2367"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Engagement Lead</w:t>
            </w:r>
          </w:p>
        </w:tc>
        <w:tc>
          <w:tcPr>
            <w:tcW w:w="4030"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Client coordination, quality review, risk decisions</w:t>
            </w:r>
          </w:p>
        </w:tc>
      </w:tr>
      <w:tr>
        <w:trPr>
          <w:cantSplit w:val="true"/>
        </w:trPr>
        <w:tc>
          <w:tcPr>
            <w:tcW w:w="2367"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Lead Tester</w:t>
            </w:r>
          </w:p>
        </w:tc>
        <w:tc>
          <w:tcPr>
            <w:tcW w:w="4030"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Technical execution, evidence collection, validation</w:t>
            </w:r>
          </w:p>
        </w:tc>
      </w:tr>
      <w:tr>
        <w:trPr>
          <w:cantSplit w:val="true"/>
        </w:trPr>
        <w:tc>
          <w:tcPr>
            <w:tcW w:w="2367"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Support Tester / Analyst</w:t>
            </w:r>
          </w:p>
        </w:tc>
        <w:tc>
          <w:tcPr>
            <w:tcW w:w="4030"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Enumeration, verification, documentation</w:t>
            </w:r>
          </w:p>
        </w:tc>
      </w:tr>
      <w:tr>
        <w:trPr>
          <w:cantSplit w:val="true"/>
        </w:trPr>
        <w:tc>
          <w:tcPr>
            <w:tcW w:w="2367"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Client Technical Contact</w:t>
            </w:r>
          </w:p>
        </w:tc>
        <w:tc>
          <w:tcPr>
            <w:tcW w:w="4030"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Access, clarifications, change coordination</w:t>
            </w:r>
          </w:p>
        </w:tc>
      </w:tr>
      <w:tr>
        <w:trPr>
          <w:cantSplit w:val="true"/>
        </w:trPr>
        <w:tc>
          <w:tcPr>
            <w:tcW w:w="2367"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Client Management Sponsor</w:t>
            </w:r>
          </w:p>
        </w:tc>
        <w:tc>
          <w:tcPr>
            <w:tcW w:w="4030"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Approval, decision-making, escalation support</w:t>
            </w:r>
          </w:p>
        </w:tc>
      </w:tr>
    </w:tbl>
    <w:p>
      <w:pPr>
        <w:pStyle w:val="Normal"/>
        <w:rPr/>
      </w:pPr>
      <w:r>
        <w:rPr/>
      </w:r>
    </w:p>
    <w:p>
      <w:pPr>
        <w:pStyle w:val="Normal"/>
        <w:spacing w:lineRule="auto" w:line="360" w:before="315" w:after="105"/>
        <w:ind w:left="-30"/>
        <w:rPr/>
      </w:pPr>
      <w:bookmarkStart w:id="18" w:name="bm_12_project_timeline"/>
      <w:r>
        <w:rPr>
          <w:rFonts w:eastAsia="source serif 4" w:cs="source serif 4" w:ascii="source serif 4" w:hAnsi="source serif 4"/>
          <w:b/>
          <w:color w:val="000000"/>
          <w:sz w:val="24"/>
        </w:rPr>
        <w:t>12. Project Timeline</w:t>
      </w:r>
      <w:bookmarkEnd w:id="18"/>
    </w:p>
    <w:tbl>
      <w:tblPr>
        <w:tblStyle w:val="NormalGrid"/>
        <w:tblW w:w="6845" w:type="dxa"/>
        <w:jc w:val="center"/>
        <w:tblInd w:w="0" w:type="dxa"/>
        <w:tblLayout w:type="fixed"/>
        <w:tblCellMar>
          <w:top w:w="80" w:type="dxa"/>
          <w:left w:w="160" w:type="dxa"/>
          <w:bottom w:w="80" w:type="dxa"/>
          <w:right w:w="160" w:type="dxa"/>
        </w:tblCellMar>
        <w:tblLook w:val="04a0" w:noHBand="0" w:noVBand="1" w:firstColumn="1" w:lastRow="0" w:lastColumn="0" w:firstRow="1"/>
      </w:tblPr>
      <w:tblGrid>
        <w:gridCol w:w="1483"/>
        <w:gridCol w:w="3614"/>
        <w:gridCol w:w="1748"/>
      </w:tblGrid>
      <w:tr>
        <w:trPr>
          <w:cantSplit w:val="true"/>
        </w:trPr>
        <w:tc>
          <w:tcPr>
            <w:tcW w:w="1483"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Phase</w:t>
            </w:r>
          </w:p>
        </w:tc>
        <w:tc>
          <w:tcPr>
            <w:tcW w:w="3614"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Activities</w:t>
            </w:r>
          </w:p>
        </w:tc>
        <w:tc>
          <w:tcPr>
            <w:tcW w:w="1748"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Estimated Duration</w:t>
            </w:r>
          </w:p>
        </w:tc>
      </w:tr>
      <w:tr>
        <w:trPr>
          <w:cantSplit w:val="true"/>
        </w:trPr>
        <w:tc>
          <w:tcPr>
            <w:tcW w:w="1483"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Initiation</w:t>
            </w:r>
          </w:p>
        </w:tc>
        <w:tc>
          <w:tcPr>
            <w:tcW w:w="3614"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Kickoff, approvals, scope confirmation</w:t>
            </w:r>
          </w:p>
        </w:tc>
        <w:tc>
          <w:tcPr>
            <w:tcW w:w="1748"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[x days]</w:t>
            </w:r>
          </w:p>
        </w:tc>
      </w:tr>
      <w:tr>
        <w:trPr>
          <w:cantSplit w:val="true"/>
        </w:trPr>
        <w:tc>
          <w:tcPr>
            <w:tcW w:w="1483"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Reconnaissance</w:t>
            </w:r>
          </w:p>
        </w:tc>
        <w:tc>
          <w:tcPr>
            <w:tcW w:w="3614"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Intelligence gathering and target profiling</w:t>
            </w:r>
          </w:p>
        </w:tc>
        <w:tc>
          <w:tcPr>
            <w:tcW w:w="1748"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[x days]</w:t>
            </w:r>
          </w:p>
        </w:tc>
      </w:tr>
      <w:tr>
        <w:trPr>
          <w:cantSplit w:val="true"/>
        </w:trPr>
        <w:tc>
          <w:tcPr>
            <w:tcW w:w="1483"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Analysis</w:t>
            </w:r>
          </w:p>
        </w:tc>
        <w:tc>
          <w:tcPr>
            <w:tcW w:w="3614"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Threat modeling and vulnerability analysis</w:t>
            </w:r>
          </w:p>
        </w:tc>
        <w:tc>
          <w:tcPr>
            <w:tcW w:w="1748"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[x days]</w:t>
            </w:r>
          </w:p>
        </w:tc>
      </w:tr>
      <w:tr>
        <w:trPr>
          <w:cantSplit w:val="true"/>
        </w:trPr>
        <w:tc>
          <w:tcPr>
            <w:tcW w:w="1483"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Exploitation</w:t>
            </w:r>
          </w:p>
        </w:tc>
        <w:tc>
          <w:tcPr>
            <w:tcW w:w="3614"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Controlled exploitation and impact validation</w:t>
            </w:r>
          </w:p>
        </w:tc>
        <w:tc>
          <w:tcPr>
            <w:tcW w:w="1748"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[x days]</w:t>
            </w:r>
          </w:p>
        </w:tc>
      </w:tr>
      <w:tr>
        <w:trPr>
          <w:cantSplit w:val="true"/>
        </w:trPr>
        <w:tc>
          <w:tcPr>
            <w:tcW w:w="1483"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Reporting</w:t>
            </w:r>
          </w:p>
        </w:tc>
        <w:tc>
          <w:tcPr>
            <w:tcW w:w="3614"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Report writing, QA, and presentation</w:t>
            </w:r>
          </w:p>
        </w:tc>
        <w:tc>
          <w:tcPr>
            <w:tcW w:w="1748"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[x days]</w:t>
            </w:r>
          </w:p>
        </w:tc>
      </w:tr>
    </w:tbl>
    <w:p>
      <w:pPr>
        <w:pStyle w:val="Normal"/>
        <w:rPr/>
      </w:pPr>
      <w:r>
        <w:rPr/>
      </w:r>
    </w:p>
    <w:p>
      <w:pPr>
        <w:pStyle w:val="Normal"/>
        <w:spacing w:lineRule="auto" w:line="360" w:before="315" w:after="105"/>
        <w:ind w:left="-30"/>
        <w:rPr/>
      </w:pPr>
      <w:bookmarkStart w:id="19" w:name="bm_13_access_and_client_dependencies"/>
      <w:r>
        <w:rPr>
          <w:rFonts w:eastAsia="source serif 4" w:cs="source serif 4" w:ascii="source serif 4" w:hAnsi="source serif 4"/>
          <w:b/>
          <w:color w:val="000000"/>
          <w:sz w:val="24"/>
        </w:rPr>
        <w:t>13. Access and Client Dependencies</w:t>
      </w:r>
      <w:bookmarkEnd w:id="19"/>
    </w:p>
    <w:p>
      <w:pPr>
        <w:pStyle w:val="Normal"/>
        <w:spacing w:lineRule="auto" w:line="360" w:before="0" w:after="210"/>
        <w:rPr/>
      </w:pPr>
      <w:r>
        <w:rPr>
          <w:rFonts w:eastAsia="source serif 4" w:cs="source serif 4" w:ascii="source serif 4" w:hAnsi="source serif 4"/>
          <w:color w:val="000000"/>
        </w:rPr>
        <w:t>State what the client must provide.</w:t>
      </w:r>
    </w:p>
    <w:p>
      <w:pPr>
        <w:pStyle w:val="Normal"/>
        <w:spacing w:lineRule="auto" w:line="360" w:before="0" w:after="210"/>
        <w:rPr/>
      </w:pPr>
      <w:r>
        <w:rPr>
          <w:rFonts w:eastAsia="source serif 4" w:cs="source serif 4" w:ascii="source serif 4" w:hAnsi="source serif 4"/>
          <w:color w:val="000000"/>
        </w:rPr>
        <w:t>Examples:</w:t>
      </w:r>
    </w:p>
    <w:p>
      <w:pPr>
        <w:pStyle w:val="Normal"/>
        <w:numPr>
          <w:ilvl w:val="0"/>
          <w:numId w:val="12"/>
        </w:numPr>
        <w:spacing w:lineRule="auto" w:line="360" w:before="105" w:after="105"/>
        <w:rPr/>
      </w:pPr>
      <w:r>
        <w:rPr>
          <w:rFonts w:eastAsia="source serif 4" w:cs="source serif 4" w:ascii="source serif 4" w:hAnsi="source serif 4"/>
          <w:color w:val="000000"/>
        </w:rPr>
        <w:t>Written authorization.</w:t>
      </w:r>
    </w:p>
    <w:p>
      <w:pPr>
        <w:pStyle w:val="Normal"/>
        <w:numPr>
          <w:ilvl w:val="0"/>
          <w:numId w:val="12"/>
        </w:numPr>
        <w:spacing w:lineRule="auto" w:line="360" w:before="105" w:after="105"/>
        <w:rPr/>
      </w:pPr>
      <w:r>
        <w:rPr>
          <w:rFonts w:eastAsia="source serif 4" w:cs="source serif 4" w:ascii="source serif 4" w:hAnsi="source serif 4"/>
          <w:color w:val="000000"/>
        </w:rPr>
        <w:t>Asset inventory.</w:t>
      </w:r>
    </w:p>
    <w:p>
      <w:pPr>
        <w:pStyle w:val="Normal"/>
        <w:numPr>
          <w:ilvl w:val="0"/>
          <w:numId w:val="12"/>
        </w:numPr>
        <w:spacing w:lineRule="auto" w:line="360" w:before="105" w:after="105"/>
        <w:rPr/>
      </w:pPr>
      <w:r>
        <w:rPr>
          <w:rFonts w:eastAsia="source serif 4" w:cs="source serif 4" w:ascii="source serif 4" w:hAnsi="source serif 4"/>
          <w:color w:val="000000"/>
        </w:rPr>
        <w:t>Test accounts, if applicable.</w:t>
      </w:r>
    </w:p>
    <w:p>
      <w:pPr>
        <w:pStyle w:val="Normal"/>
        <w:numPr>
          <w:ilvl w:val="0"/>
          <w:numId w:val="12"/>
        </w:numPr>
        <w:spacing w:lineRule="auto" w:line="360" w:before="105" w:after="105"/>
        <w:rPr/>
      </w:pPr>
      <w:r>
        <w:rPr>
          <w:rFonts w:eastAsia="source serif 4" w:cs="source serif 4" w:ascii="source serif 4" w:hAnsi="source serif 4"/>
          <w:color w:val="000000"/>
        </w:rPr>
        <w:t>Network ranges and application URLs.</w:t>
      </w:r>
    </w:p>
    <w:p>
      <w:pPr>
        <w:pStyle w:val="Normal"/>
        <w:numPr>
          <w:ilvl w:val="0"/>
          <w:numId w:val="12"/>
        </w:numPr>
        <w:spacing w:lineRule="auto" w:line="360" w:before="105" w:after="105"/>
        <w:rPr/>
      </w:pPr>
      <w:r>
        <w:rPr>
          <w:rFonts w:eastAsia="source serif 4" w:cs="source serif 4" w:ascii="source serif 4" w:hAnsi="source serif 4"/>
          <w:color w:val="000000"/>
        </w:rPr>
        <w:t>Maintenance window approval.</w:t>
      </w:r>
    </w:p>
    <w:p>
      <w:pPr>
        <w:pStyle w:val="Normal"/>
        <w:numPr>
          <w:ilvl w:val="0"/>
          <w:numId w:val="12"/>
        </w:numPr>
        <w:spacing w:lineRule="auto" w:line="360" w:before="105" w:after="105"/>
        <w:rPr/>
      </w:pPr>
      <w:r>
        <w:rPr>
          <w:rFonts w:eastAsia="source serif 4" w:cs="source serif 4" w:ascii="source serif 4" w:hAnsi="source serif 4"/>
          <w:color w:val="000000"/>
        </w:rPr>
        <w:t>Technical and managerial contact details.</w:t>
      </w:r>
    </w:p>
    <w:p>
      <w:pPr>
        <w:pStyle w:val="Normal"/>
        <w:numPr>
          <w:ilvl w:val="0"/>
          <w:numId w:val="12"/>
        </w:numPr>
        <w:spacing w:lineRule="auto" w:line="360" w:before="105" w:after="105"/>
        <w:rPr/>
      </w:pPr>
      <w:r>
        <w:rPr>
          <w:rFonts w:eastAsia="source serif 4" w:cs="source serif 4" w:ascii="source serif 4" w:hAnsi="source serif 4"/>
          <w:color w:val="000000"/>
        </w:rPr>
        <w:t>Whitelisting for test infrastructure, where needed.</w:t>
      </w:r>
    </w:p>
    <w:p>
      <w:pPr>
        <w:pStyle w:val="Normal"/>
        <w:spacing w:lineRule="auto" w:line="360" w:before="315" w:after="105"/>
        <w:ind w:left="-30"/>
        <w:rPr/>
      </w:pPr>
      <w:bookmarkStart w:id="20" w:name="bm_14_legal_ethical_and_safety_statement"/>
      <w:r>
        <w:rPr>
          <w:rFonts w:eastAsia="source serif 4" w:cs="source serif 4" w:ascii="source serif 4" w:hAnsi="source serif 4"/>
          <w:b/>
          <w:color w:val="000000"/>
          <w:sz w:val="24"/>
        </w:rPr>
        <w:t>14. Legal, Ethical, and Safety Statement</w:t>
      </w:r>
      <w:bookmarkEnd w:id="20"/>
    </w:p>
    <w:p>
      <w:pPr>
        <w:pStyle w:val="Normal"/>
        <w:spacing w:lineRule="auto" w:line="360" w:before="0" w:after="210"/>
        <w:rPr/>
      </w:pPr>
      <w:r>
        <w:rPr>
          <w:rFonts w:eastAsia="source serif 4" w:cs="source serif 4" w:ascii="source serif 4" w:hAnsi="source serif 4"/>
          <w:color w:val="000000"/>
        </w:rPr>
        <w:t>PTES emphasizes the importance of clear pre-engagement definition, while NIST SP 800-115 positions testing as a controlled assessment activity.</w:t>
      </w:r>
    </w:p>
    <w:p>
      <w:pPr>
        <w:pStyle w:val="Normal"/>
        <w:spacing w:lineRule="auto" w:line="360" w:before="0" w:after="210"/>
        <w:rPr/>
      </w:pPr>
      <w:r>
        <w:rPr>
          <w:rFonts w:eastAsia="source serif 4" w:cs="source serif 4" w:ascii="source serif 4" w:hAnsi="source serif 4"/>
          <w:b/>
          <w:color w:val="000000"/>
        </w:rPr>
        <w:t>Template language:</w:t>
      </w:r>
      <w:r>
        <w:rPr>
          <w:rFonts w:eastAsia="source serif 4" w:cs="source serif 4" w:ascii="source serif 4" w:hAnsi="source serif 4"/>
          <w:color w:val="000000"/>
        </w:rPr>
        <w:br/>
        <w:t>This proposal is limited to authorized security testing of systems explicitly approved by the client. No testing will be performed outside the approved scope, and no attempt will be made to intentionally disrupt business operations, alter production data, or access third-party systems without explicit written authorization.</w:t>
      </w:r>
    </w:p>
    <w:p>
      <w:pPr>
        <w:pStyle w:val="Normal"/>
        <w:spacing w:lineRule="auto" w:line="360" w:before="315" w:after="105"/>
        <w:ind w:left="-30"/>
        <w:rPr/>
      </w:pPr>
      <w:bookmarkStart w:id="21" w:name="bm_15_pricing_and_commercials"/>
      <w:r>
        <w:rPr>
          <w:rFonts w:eastAsia="source serif 4" w:cs="source serif 4" w:ascii="source serif 4" w:hAnsi="source serif 4"/>
          <w:b/>
          <w:color w:val="000000"/>
          <w:sz w:val="24"/>
        </w:rPr>
        <w:t>15. Pricing and Commercials</w:t>
      </w:r>
      <w:bookmarkEnd w:id="21"/>
    </w:p>
    <w:p>
      <w:pPr>
        <w:pStyle w:val="Normal"/>
        <w:spacing w:lineRule="auto" w:line="360" w:before="0" w:after="210"/>
        <w:rPr/>
      </w:pPr>
      <w:r>
        <w:rPr>
          <w:rFonts w:eastAsia="source serif 4" w:cs="source serif 4" w:ascii="source serif 4" w:hAnsi="source serif 4"/>
          <w:color w:val="000000"/>
        </w:rPr>
        <w:t>Use one of the following options depending on the exercise:</w:t>
      </w:r>
    </w:p>
    <w:p>
      <w:pPr>
        <w:pStyle w:val="Normal"/>
        <w:spacing w:lineRule="auto" w:line="360" w:before="315" w:after="105"/>
        <w:ind w:left="-30"/>
        <w:rPr/>
      </w:pPr>
      <w:bookmarkStart w:id="22" w:name="option_a_keep_pricing_omitted"/>
      <w:r>
        <w:rPr>
          <w:rFonts w:eastAsia="source serif 4" w:cs="source serif 4" w:ascii="source serif 4" w:hAnsi="source serif 4"/>
          <w:b/>
          <w:color w:val="000000"/>
          <w:sz w:val="24"/>
        </w:rPr>
        <w:t>Option A: Keep Pricing Omitted</w:t>
      </w:r>
      <w:bookmarkEnd w:id="22"/>
    </w:p>
    <w:p>
      <w:pPr>
        <w:pStyle w:val="Normal"/>
        <w:spacing w:lineRule="auto" w:line="360" w:before="0" w:after="210"/>
        <w:rPr/>
      </w:pPr>
      <w:r>
        <w:rPr>
          <w:rFonts w:eastAsia="source serif 4" w:cs="source serif 4" w:ascii="source serif 4" w:hAnsi="source serif 4"/>
          <w:color w:val="000000"/>
        </w:rPr>
        <w:t xml:space="preserve">Write: </w:t>
      </w:r>
      <w:r>
        <w:rPr>
          <w:rFonts w:eastAsia="source serif 4" w:cs="source serif 4" w:ascii="source serif 4" w:hAnsi="source serif 4"/>
          <w:b/>
          <w:color w:val="000000"/>
        </w:rPr>
        <w:t>Pricing to be discussed separately as part of this training exercise.</w:t>
      </w:r>
    </w:p>
    <w:p>
      <w:pPr>
        <w:pStyle w:val="Normal"/>
        <w:spacing w:lineRule="auto" w:line="360" w:before="315" w:after="105"/>
        <w:ind w:left="-30"/>
        <w:rPr/>
      </w:pPr>
      <w:bookmarkStart w:id="23" w:name="option_b_add_a_training_example"/>
      <w:r>
        <w:rPr>
          <w:rFonts w:eastAsia="source serif 4" w:cs="source serif 4" w:ascii="source serif 4" w:hAnsi="source serif 4"/>
          <w:b/>
          <w:color w:val="000000"/>
          <w:sz w:val="24"/>
        </w:rPr>
        <w:t>Option B: Add a Training Example</w:t>
      </w:r>
      <w:bookmarkEnd w:id="23"/>
    </w:p>
    <w:tbl>
      <w:tblPr>
        <w:tblStyle w:val="NormalGrid"/>
        <w:tblW w:w="4450" w:type="dxa"/>
        <w:jc w:val="center"/>
        <w:tblInd w:w="0" w:type="dxa"/>
        <w:tblLayout w:type="fixed"/>
        <w:tblCellMar>
          <w:top w:w="80" w:type="dxa"/>
          <w:left w:w="160" w:type="dxa"/>
          <w:bottom w:w="80" w:type="dxa"/>
          <w:right w:w="160" w:type="dxa"/>
        </w:tblCellMar>
        <w:tblLook w:val="04a0" w:noHBand="0" w:noVBand="1" w:firstColumn="1" w:lastRow="0" w:lastColumn="0" w:firstRow="1"/>
      </w:tblPr>
      <w:tblGrid>
        <w:gridCol w:w="2447"/>
        <w:gridCol w:w="975"/>
        <w:gridCol w:w="1028"/>
      </w:tblGrid>
      <w:tr>
        <w:trPr>
          <w:cantSplit w:val="true"/>
        </w:trPr>
        <w:tc>
          <w:tcPr>
            <w:tcW w:w="2447"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Item</w:t>
            </w:r>
          </w:p>
        </w:tc>
        <w:tc>
          <w:tcPr>
            <w:tcW w:w="975"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Basis</w:t>
            </w:r>
          </w:p>
        </w:tc>
        <w:tc>
          <w:tcPr>
            <w:tcW w:w="1028"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Amount</w:t>
            </w:r>
          </w:p>
        </w:tc>
      </w:tr>
      <w:tr>
        <w:trPr>
          <w:cantSplit w:val="true"/>
        </w:trPr>
        <w:tc>
          <w:tcPr>
            <w:tcW w:w="2447"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External web application test</w:t>
            </w:r>
          </w:p>
        </w:tc>
        <w:tc>
          <w:tcPr>
            <w:tcW w:w="975"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Fixed fee</w:t>
            </w:r>
          </w:p>
        </w:tc>
        <w:tc>
          <w:tcPr>
            <w:tcW w:w="1028"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[Amount]</w:t>
            </w:r>
          </w:p>
        </w:tc>
      </w:tr>
      <w:tr>
        <w:trPr>
          <w:cantSplit w:val="true"/>
        </w:trPr>
        <w:tc>
          <w:tcPr>
            <w:tcW w:w="2447"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Internal network test</w:t>
            </w:r>
          </w:p>
        </w:tc>
        <w:tc>
          <w:tcPr>
            <w:tcW w:w="975"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Fixed fee</w:t>
            </w:r>
          </w:p>
        </w:tc>
        <w:tc>
          <w:tcPr>
            <w:tcW w:w="1028"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[Amount]</w:t>
            </w:r>
          </w:p>
        </w:tc>
      </w:tr>
      <w:tr>
        <w:trPr>
          <w:cantSplit w:val="true"/>
        </w:trPr>
        <w:tc>
          <w:tcPr>
            <w:tcW w:w="2447"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Retest</w:t>
            </w:r>
          </w:p>
        </w:tc>
        <w:tc>
          <w:tcPr>
            <w:tcW w:w="975"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Optional</w:t>
            </w:r>
          </w:p>
        </w:tc>
        <w:tc>
          <w:tcPr>
            <w:tcW w:w="1028"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[Amount]</w:t>
            </w:r>
          </w:p>
        </w:tc>
      </w:tr>
    </w:tbl>
    <w:p>
      <w:pPr>
        <w:pStyle w:val="Normal"/>
        <w:rPr/>
      </w:pPr>
      <w:r>
        <w:rPr/>
      </w:r>
    </w:p>
    <w:p>
      <w:pPr>
        <w:pStyle w:val="Normal"/>
        <w:spacing w:lineRule="auto" w:line="360" w:before="315" w:after="105"/>
        <w:ind w:left="-30"/>
        <w:rPr/>
      </w:pPr>
      <w:bookmarkStart w:id="24" w:name="bm_16_acceptance_criteria"/>
      <w:r>
        <w:rPr>
          <w:rFonts w:eastAsia="source serif 4" w:cs="source serif 4" w:ascii="source serif 4" w:hAnsi="source serif 4"/>
          <w:b/>
          <w:color w:val="000000"/>
          <w:sz w:val="24"/>
        </w:rPr>
        <w:t>16. Acceptance Criteria</w:t>
      </w:r>
      <w:bookmarkEnd w:id="24"/>
    </w:p>
    <w:p>
      <w:pPr>
        <w:pStyle w:val="Normal"/>
        <w:spacing w:lineRule="auto" w:line="360" w:before="0" w:after="210"/>
        <w:rPr/>
      </w:pPr>
      <w:r>
        <w:rPr>
          <w:rFonts w:eastAsia="source serif 4" w:cs="source serif 4" w:ascii="source serif 4" w:hAnsi="source serif 4"/>
          <w:color w:val="000000"/>
        </w:rPr>
        <w:t>Define what successful completion means.</w:t>
      </w:r>
    </w:p>
    <w:p>
      <w:pPr>
        <w:pStyle w:val="Normal"/>
        <w:spacing w:lineRule="auto" w:line="360" w:before="0" w:after="210"/>
        <w:rPr/>
      </w:pPr>
      <w:r>
        <w:rPr>
          <w:rFonts w:eastAsia="source serif 4" w:cs="source serif 4" w:ascii="source serif 4" w:hAnsi="source serif 4"/>
          <w:color w:val="000000"/>
        </w:rPr>
        <w:t>Examples:</w:t>
      </w:r>
    </w:p>
    <w:p>
      <w:pPr>
        <w:pStyle w:val="Normal"/>
        <w:numPr>
          <w:ilvl w:val="0"/>
          <w:numId w:val="13"/>
        </w:numPr>
        <w:spacing w:lineRule="auto" w:line="360" w:before="105" w:after="105"/>
        <w:rPr/>
      </w:pPr>
      <w:r>
        <w:rPr>
          <w:rFonts w:eastAsia="source serif 4" w:cs="source serif 4" w:ascii="source serif 4" w:hAnsi="source serif 4"/>
          <w:color w:val="000000"/>
        </w:rPr>
        <w:t>All in-scope assets assessed within approved constraints.</w:t>
      </w:r>
    </w:p>
    <w:p>
      <w:pPr>
        <w:pStyle w:val="Normal"/>
        <w:numPr>
          <w:ilvl w:val="0"/>
          <w:numId w:val="13"/>
        </w:numPr>
        <w:spacing w:lineRule="auto" w:line="360" w:before="105" w:after="105"/>
        <w:rPr/>
      </w:pPr>
      <w:r>
        <w:rPr>
          <w:rFonts w:eastAsia="source serif 4" w:cs="source serif 4" w:ascii="source serif 4" w:hAnsi="source serif 4"/>
          <w:color w:val="000000"/>
        </w:rPr>
        <w:t>Findings documented with supporting evidence.</w:t>
      </w:r>
    </w:p>
    <w:p>
      <w:pPr>
        <w:pStyle w:val="Normal"/>
        <w:numPr>
          <w:ilvl w:val="0"/>
          <w:numId w:val="13"/>
        </w:numPr>
        <w:spacing w:lineRule="auto" w:line="360" w:before="105" w:after="105"/>
        <w:rPr/>
      </w:pPr>
      <w:r>
        <w:rPr>
          <w:rFonts w:eastAsia="source serif 4" w:cs="source serif 4" w:ascii="source serif 4" w:hAnsi="source serif 4"/>
          <w:color w:val="000000"/>
        </w:rPr>
        <w:t>Client debrief conducted.</w:t>
      </w:r>
    </w:p>
    <w:p>
      <w:pPr>
        <w:pStyle w:val="Normal"/>
        <w:numPr>
          <w:ilvl w:val="0"/>
          <w:numId w:val="13"/>
        </w:numPr>
        <w:spacing w:lineRule="auto" w:line="360" w:before="105" w:after="105"/>
        <w:rPr/>
      </w:pPr>
      <w:r>
        <w:rPr>
          <w:rFonts w:eastAsia="source serif 4" w:cs="source serif 4" w:ascii="source serif 4" w:hAnsi="source serif 4"/>
          <w:color w:val="000000"/>
        </w:rPr>
        <w:t>Final report delivered.</w:t>
      </w:r>
    </w:p>
    <w:p>
      <w:pPr>
        <w:pStyle w:val="Normal"/>
        <w:numPr>
          <w:ilvl w:val="0"/>
          <w:numId w:val="13"/>
        </w:numPr>
        <w:spacing w:lineRule="auto" w:line="360" w:before="105" w:after="105"/>
        <w:rPr/>
      </w:pPr>
      <w:r>
        <w:rPr>
          <w:rFonts w:eastAsia="source serif 4" w:cs="source serif 4" w:ascii="source serif 4" w:hAnsi="source serif 4"/>
          <w:color w:val="000000"/>
        </w:rPr>
        <w:t>Questions addressed before closure.</w:t>
      </w:r>
    </w:p>
    <w:p>
      <w:pPr>
        <w:pStyle w:val="Normal"/>
        <w:spacing w:lineRule="auto" w:line="360" w:before="315" w:after="105"/>
        <w:ind w:left="-30"/>
        <w:rPr/>
      </w:pPr>
      <w:bookmarkStart w:id="25" w:name="bm_17_sign_off_section"/>
      <w:r>
        <w:rPr>
          <w:rFonts w:eastAsia="source serif 4" w:cs="source serif 4" w:ascii="source serif 4" w:hAnsi="source serif 4"/>
          <w:b/>
          <w:color w:val="000000"/>
          <w:sz w:val="24"/>
        </w:rPr>
        <w:t>17. Sign-Off Section</w:t>
      </w:r>
      <w:bookmarkEnd w:id="25"/>
    </w:p>
    <w:tbl>
      <w:tblPr>
        <w:tblStyle w:val="NormalGrid"/>
        <w:tblW w:w="4745" w:type="dxa"/>
        <w:jc w:val="center"/>
        <w:tblInd w:w="0" w:type="dxa"/>
        <w:tblLayout w:type="fixed"/>
        <w:tblCellMar>
          <w:top w:w="80" w:type="dxa"/>
          <w:left w:w="160" w:type="dxa"/>
          <w:bottom w:w="80" w:type="dxa"/>
          <w:right w:w="160" w:type="dxa"/>
        </w:tblCellMar>
        <w:tblLook w:val="04a0" w:noHBand="0" w:noVBand="1" w:firstColumn="1" w:lastRow="0" w:lastColumn="0" w:firstRow="1"/>
      </w:tblPr>
      <w:tblGrid>
        <w:gridCol w:w="870"/>
        <w:gridCol w:w="766"/>
        <w:gridCol w:w="1426"/>
        <w:gridCol w:w="1022"/>
        <w:gridCol w:w="661"/>
      </w:tblGrid>
      <w:tr>
        <w:trPr>
          <w:cantSplit w:val="true"/>
        </w:trPr>
        <w:tc>
          <w:tcPr>
            <w:tcW w:w="870"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Name</w:t>
            </w:r>
          </w:p>
        </w:tc>
        <w:tc>
          <w:tcPr>
            <w:tcW w:w="766"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Role</w:t>
            </w:r>
          </w:p>
        </w:tc>
        <w:tc>
          <w:tcPr>
            <w:tcW w:w="1426"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Organization</w:t>
            </w:r>
          </w:p>
        </w:tc>
        <w:tc>
          <w:tcPr>
            <w:tcW w:w="1022"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Signature</w:t>
            </w:r>
          </w:p>
        </w:tc>
        <w:tc>
          <w:tcPr>
            <w:tcW w:w="661"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Date</w:t>
            </w:r>
          </w:p>
        </w:tc>
      </w:tr>
      <w:tr>
        <w:trPr>
          <w:cantSplit w:val="true"/>
        </w:trPr>
        <w:tc>
          <w:tcPr>
            <w:tcW w:w="870"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[Name]</w:t>
            </w:r>
          </w:p>
        </w:tc>
        <w:tc>
          <w:tcPr>
            <w:tcW w:w="766"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[Role]</w:t>
            </w:r>
          </w:p>
        </w:tc>
        <w:tc>
          <w:tcPr>
            <w:tcW w:w="1426"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[Client]</w:t>
            </w:r>
          </w:p>
        </w:tc>
        <w:tc>
          <w:tcPr>
            <w:tcW w:w="1022" w:type="dxa"/>
            <w:tcBorders>
              <w:top w:val="single" w:sz="2" w:space="0" w:color="000000"/>
              <w:bottom w:val="single" w:sz="2" w:space="0" w:color="000000"/>
              <w:right w:val="single" w:sz="2" w:space="0" w:color="000000"/>
            </w:tcBorders>
          </w:tcPr>
          <w:p>
            <w:pPr>
              <w:pStyle w:val="Normal"/>
              <w:widowControl/>
              <w:spacing w:lineRule="auto" w:line="240" w:before="0" w:after="0"/>
              <w:jc w:val="left"/>
              <w:rPr>
                <w:rFonts w:ascii="Georgia" w:hAnsi="Georgia" w:eastAsia="Calibri" w:cs=""/>
                <w:kern w:val="0"/>
                <w:sz w:val="21"/>
                <w:szCs w:val="22"/>
                <w:lang w:val="en-US" w:eastAsia="en-US" w:bidi="ar-SA"/>
              </w:rPr>
            </w:pPr>
            <w:r>
              <w:rPr>
                <w:rFonts w:eastAsia="Calibri" w:cs=""/>
                <w:kern w:val="0"/>
                <w:sz w:val="21"/>
                <w:szCs w:val="22"/>
                <w:lang w:val="en-US" w:eastAsia="en-US" w:bidi="ar-SA"/>
              </w:rPr>
            </w:r>
          </w:p>
        </w:tc>
        <w:tc>
          <w:tcPr>
            <w:tcW w:w="661" w:type="dxa"/>
            <w:tcBorders>
              <w:top w:val="single" w:sz="2" w:space="0" w:color="000000"/>
              <w:bottom w:val="single" w:sz="2" w:space="0" w:color="000000"/>
              <w:right w:val="single" w:sz="2" w:space="0" w:color="000000"/>
            </w:tcBorders>
          </w:tcPr>
          <w:p>
            <w:pPr>
              <w:pStyle w:val="Normal"/>
              <w:widowControl/>
              <w:spacing w:lineRule="auto" w:line="240" w:before="0" w:after="0"/>
              <w:jc w:val="left"/>
              <w:rPr>
                <w:rFonts w:ascii="Georgia" w:hAnsi="Georgia" w:eastAsia="Calibri" w:cs=""/>
                <w:kern w:val="0"/>
                <w:sz w:val="21"/>
                <w:szCs w:val="22"/>
                <w:lang w:val="en-US" w:eastAsia="en-US" w:bidi="ar-SA"/>
              </w:rPr>
            </w:pPr>
            <w:r>
              <w:rPr>
                <w:rFonts w:eastAsia="Calibri" w:cs=""/>
                <w:kern w:val="0"/>
                <w:sz w:val="21"/>
                <w:szCs w:val="22"/>
                <w:lang w:val="en-US" w:eastAsia="en-US" w:bidi="ar-SA"/>
              </w:rPr>
            </w:r>
          </w:p>
        </w:tc>
      </w:tr>
      <w:tr>
        <w:trPr>
          <w:cantSplit w:val="true"/>
        </w:trPr>
        <w:tc>
          <w:tcPr>
            <w:tcW w:w="870"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[Name]</w:t>
            </w:r>
          </w:p>
        </w:tc>
        <w:tc>
          <w:tcPr>
            <w:tcW w:w="766"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[Role]</w:t>
            </w:r>
          </w:p>
        </w:tc>
        <w:tc>
          <w:tcPr>
            <w:tcW w:w="1426" w:type="dxa"/>
            <w:tcBorders>
              <w:top w:val="single" w:sz="2" w:space="0" w:color="000000"/>
              <w:bottom w:val="single" w:sz="2" w:space="0" w:color="000000"/>
              <w:right w:val="single" w:sz="2" w:space="0" w:color="000000"/>
            </w:tcBorders>
          </w:tcPr>
          <w:p>
            <w:pPr>
              <w:pStyle w:val="Normal"/>
              <w:widowControl/>
              <w:spacing w:lineRule="auto" w:line="360" w:before="0" w:after="0"/>
              <w:jc w:val="left"/>
              <w:rPr>
                <w:rFonts w:ascii="Georgia" w:hAnsi="Georgia" w:eastAsia="Calibri" w:cs=""/>
                <w:kern w:val="0"/>
                <w:sz w:val="21"/>
                <w:szCs w:val="22"/>
                <w:lang w:val="en-US" w:eastAsia="en-US" w:bidi="ar-SA"/>
              </w:rPr>
            </w:pPr>
            <w:r>
              <w:rPr>
                <w:rFonts w:eastAsia="source sans 3" w:cs="source sans 3" w:ascii="source sans 3" w:hAnsi="source sans 3"/>
                <w:color w:val="000000"/>
                <w:kern w:val="0"/>
                <w:sz w:val="17"/>
                <w:szCs w:val="22"/>
                <w:lang w:val="en-US" w:eastAsia="en-US" w:bidi="ar-SA"/>
              </w:rPr>
              <w:t>[Testing Team]</w:t>
            </w:r>
          </w:p>
        </w:tc>
        <w:tc>
          <w:tcPr>
            <w:tcW w:w="1022" w:type="dxa"/>
            <w:tcBorders>
              <w:top w:val="single" w:sz="2" w:space="0" w:color="000000"/>
              <w:bottom w:val="single" w:sz="2" w:space="0" w:color="000000"/>
              <w:right w:val="single" w:sz="2" w:space="0" w:color="000000"/>
            </w:tcBorders>
          </w:tcPr>
          <w:p>
            <w:pPr>
              <w:pStyle w:val="Normal"/>
              <w:widowControl/>
              <w:spacing w:lineRule="auto" w:line="240" w:before="0" w:after="0"/>
              <w:jc w:val="left"/>
              <w:rPr>
                <w:rFonts w:ascii="Georgia" w:hAnsi="Georgia" w:eastAsia="Calibri" w:cs=""/>
                <w:kern w:val="0"/>
                <w:sz w:val="21"/>
                <w:szCs w:val="22"/>
                <w:lang w:val="en-US" w:eastAsia="en-US" w:bidi="ar-SA"/>
              </w:rPr>
            </w:pPr>
            <w:r>
              <w:rPr>
                <w:rFonts w:eastAsia="Calibri" w:cs=""/>
                <w:kern w:val="0"/>
                <w:sz w:val="21"/>
                <w:szCs w:val="22"/>
                <w:lang w:val="en-US" w:eastAsia="en-US" w:bidi="ar-SA"/>
              </w:rPr>
            </w:r>
          </w:p>
        </w:tc>
        <w:tc>
          <w:tcPr>
            <w:tcW w:w="661" w:type="dxa"/>
            <w:tcBorders>
              <w:top w:val="single" w:sz="2" w:space="0" w:color="000000"/>
              <w:bottom w:val="single" w:sz="2" w:space="0" w:color="000000"/>
              <w:right w:val="single" w:sz="2" w:space="0" w:color="000000"/>
            </w:tcBorders>
          </w:tcPr>
          <w:p>
            <w:pPr>
              <w:pStyle w:val="Normal"/>
              <w:widowControl/>
              <w:spacing w:lineRule="auto" w:line="240" w:before="0" w:after="0"/>
              <w:jc w:val="left"/>
              <w:rPr>
                <w:rFonts w:ascii="Georgia" w:hAnsi="Georgia" w:eastAsia="Calibri" w:cs=""/>
                <w:kern w:val="0"/>
                <w:sz w:val="21"/>
                <w:szCs w:val="22"/>
                <w:lang w:val="en-US" w:eastAsia="en-US" w:bidi="ar-SA"/>
              </w:rPr>
            </w:pPr>
            <w:r>
              <w:rPr>
                <w:rFonts w:eastAsia="Calibri" w:cs=""/>
                <w:kern w:val="0"/>
                <w:sz w:val="21"/>
                <w:szCs w:val="22"/>
                <w:lang w:val="en-US" w:eastAsia="en-US" w:bidi="ar-SA"/>
              </w:rPr>
            </w:r>
          </w:p>
        </w:tc>
      </w:tr>
    </w:tbl>
    <w:p>
      <w:pPr>
        <w:pStyle w:val="Normal"/>
        <w:rPr/>
      </w:pPr>
      <w:r>
        <w:rPr/>
      </w:r>
    </w:p>
    <w:p>
      <w:pPr>
        <w:pStyle w:val="Normal"/>
        <w:spacing w:lineRule="auto" w:line="360" w:before="315" w:after="105"/>
        <w:ind w:left="-30"/>
        <w:rPr/>
      </w:pPr>
      <w:bookmarkStart w:id="26" w:name="bm_18_student_submission_checklist"/>
      <w:r>
        <w:rPr>
          <w:rFonts w:eastAsia="source serif 4" w:cs="source serif 4" w:ascii="source serif 4" w:hAnsi="source serif 4"/>
          <w:b/>
          <w:color w:val="000000"/>
          <w:sz w:val="24"/>
        </w:rPr>
        <w:t>18. Student Submission Checklist</w:t>
      </w:r>
      <w:bookmarkEnd w:id="26"/>
    </w:p>
    <w:p>
      <w:pPr>
        <w:pStyle w:val="Normal"/>
        <w:numPr>
          <w:ilvl w:val="0"/>
          <w:numId w:val="14"/>
        </w:numPr>
        <w:spacing w:lineRule="auto" w:line="360" w:before="105" w:after="105"/>
        <w:rPr/>
      </w:pPr>
      <w:r>
        <w:rPr>
          <w:rFonts w:eastAsia="source serif 4" w:cs="source serif 4" w:ascii="source serif 4" w:hAnsi="source serif 4"/>
          <w:color w:val="000000"/>
        </w:rPr>
        <w:t>Scope is specific and realistic.</w:t>
      </w:r>
    </w:p>
    <w:p>
      <w:pPr>
        <w:pStyle w:val="Normal"/>
        <w:numPr>
          <w:ilvl w:val="0"/>
          <w:numId w:val="14"/>
        </w:numPr>
        <w:spacing w:lineRule="auto" w:line="360" w:before="105" w:after="105"/>
        <w:rPr/>
      </w:pPr>
      <w:r>
        <w:rPr>
          <w:rFonts w:eastAsia="source serif 4" w:cs="source serif 4" w:ascii="source serif 4" w:hAnsi="source serif 4"/>
          <w:color w:val="000000"/>
        </w:rPr>
        <w:t>Objectives are measurable.</w:t>
      </w:r>
    </w:p>
    <w:p>
      <w:pPr>
        <w:pStyle w:val="Normal"/>
        <w:numPr>
          <w:ilvl w:val="0"/>
          <w:numId w:val="14"/>
        </w:numPr>
        <w:spacing w:lineRule="auto" w:line="360" w:before="105" w:after="105"/>
        <w:rPr/>
      </w:pPr>
      <w:r>
        <w:rPr>
          <w:rFonts w:eastAsia="source serif 4" w:cs="source serif 4" w:ascii="source serif 4" w:hAnsi="source serif 4"/>
          <w:color w:val="000000"/>
        </w:rPr>
        <w:t>Out-of-scope items are clearly excluded.</w:t>
      </w:r>
    </w:p>
    <w:p>
      <w:pPr>
        <w:pStyle w:val="Normal"/>
        <w:numPr>
          <w:ilvl w:val="0"/>
          <w:numId w:val="14"/>
        </w:numPr>
        <w:spacing w:lineRule="auto" w:line="360" w:before="105" w:after="105"/>
        <w:rPr/>
      </w:pPr>
      <w:r>
        <w:rPr>
          <w:rFonts w:eastAsia="source serif 4" w:cs="source serif 4" w:ascii="source serif 4" w:hAnsi="source serif 4"/>
          <w:color w:val="000000"/>
        </w:rPr>
        <w:t>Rules of engagement are practical.</w:t>
      </w:r>
    </w:p>
    <w:p>
      <w:pPr>
        <w:pStyle w:val="Normal"/>
        <w:numPr>
          <w:ilvl w:val="0"/>
          <w:numId w:val="14"/>
        </w:numPr>
        <w:spacing w:lineRule="auto" w:line="360" w:before="105" w:after="105"/>
        <w:rPr/>
      </w:pPr>
      <w:r>
        <w:rPr>
          <w:rFonts w:eastAsia="source serif 4" w:cs="source serif 4" w:ascii="source serif 4" w:hAnsi="source serif 4"/>
          <w:color w:val="000000"/>
        </w:rPr>
        <w:t>PTES phases are reflected in the methodology.</w:t>
      </w:r>
    </w:p>
    <w:p>
      <w:pPr>
        <w:pStyle w:val="Normal"/>
        <w:numPr>
          <w:ilvl w:val="0"/>
          <w:numId w:val="14"/>
        </w:numPr>
        <w:spacing w:lineRule="auto" w:line="360" w:before="105" w:after="105"/>
        <w:rPr/>
      </w:pPr>
      <w:r>
        <w:rPr>
          <w:rFonts w:eastAsia="source serif 4" w:cs="source serif 4" w:ascii="source serif 4" w:hAnsi="source serif 4"/>
          <w:color w:val="000000"/>
        </w:rPr>
        <w:t>NIST SP 800-115 style planning, execution, and post-testing flow is visible.</w:t>
      </w:r>
    </w:p>
    <w:p>
      <w:pPr>
        <w:pStyle w:val="Normal"/>
        <w:numPr>
          <w:ilvl w:val="0"/>
          <w:numId w:val="14"/>
        </w:numPr>
        <w:spacing w:lineRule="auto" w:line="360" w:before="105" w:after="105"/>
        <w:rPr/>
      </w:pPr>
      <w:r>
        <w:rPr>
          <w:rFonts w:eastAsia="source serif 4" w:cs="source serif 4" w:ascii="source serif 4" w:hAnsi="source serif 4"/>
          <w:color w:val="000000"/>
        </w:rPr>
        <w:t>Deliverables and timeline are complete.</w:t>
      </w:r>
    </w:p>
    <w:p>
      <w:pPr>
        <w:pStyle w:val="Normal"/>
        <w:numPr>
          <w:ilvl w:val="0"/>
          <w:numId w:val="14"/>
        </w:numPr>
        <w:spacing w:lineRule="auto" w:line="360" w:before="105" w:after="105"/>
        <w:rPr/>
      </w:pPr>
      <w:r>
        <w:rPr>
          <w:rFonts w:eastAsia="source serif 4" w:cs="source serif 4" w:ascii="source serif 4" w:hAnsi="source serif 4"/>
          <w:color w:val="000000"/>
        </w:rPr>
        <w:t>Language is professional and client-ready.</w:t>
      </w:r>
    </w:p>
    <w:p>
      <w:pPr>
        <w:pStyle w:val="Normal"/>
        <w:spacing w:lineRule="auto" w:line="360" w:before="315" w:after="105"/>
        <w:ind w:left="-30"/>
        <w:rPr/>
      </w:pPr>
      <w:bookmarkStart w:id="27" w:name="bm_19_example_title_for_learners"/>
      <w:r>
        <w:rPr>
          <w:rFonts w:eastAsia="source serif 4" w:cs="source serif 4" w:ascii="source serif 4" w:hAnsi="source serif 4"/>
          <w:b/>
          <w:color w:val="000000"/>
          <w:sz w:val="24"/>
        </w:rPr>
        <w:t>19. Example Title for Learners</w:t>
      </w:r>
      <w:bookmarkEnd w:id="27"/>
    </w:p>
    <w:p>
      <w:pPr>
        <w:pStyle w:val="Normal"/>
        <w:spacing w:lineRule="auto" w:line="360" w:before="0" w:after="210"/>
        <w:rPr/>
      </w:pPr>
      <w:r>
        <w:rPr>
          <w:rFonts w:eastAsia="source serif 4" w:cs="source serif 4" w:ascii="source serif 4" w:hAnsi="source serif 4"/>
          <w:b/>
          <w:color w:val="000000"/>
        </w:rPr>
        <w:t>Penetration Testing Proposal for Northbridge Care Health Services Pvt. Ltd.</w:t>
      </w:r>
    </w:p>
    <w:p>
      <w:pPr>
        <w:pStyle w:val="Normal"/>
        <w:spacing w:lineRule="auto" w:line="360" w:before="0" w:after="210"/>
        <w:rPr/>
      </w:pPr>
      <w:r>
        <w:rPr>
          <w:rFonts w:eastAsia="source serif 4" w:cs="source serif 4" w:ascii="source serif 4" w:hAnsi="source serif 4"/>
          <w:color w:val="000000"/>
        </w:rPr>
        <w:t>This title can be reused with the fictitious organization brief provided in the companion document.</w:t>
      </w:r>
    </w:p>
    <w:sectPr>
      <w:type w:val="nextPage"/>
      <w:pgSz w:w="12240" w:h="15840"/>
      <w:pgMar w:left="1365" w:right="1365" w:gutter="0" w:header="0" w:top="1365" w:footer="0" w:bottom="1365"/>
      <w:pgNumType w:fmt="decimal"/>
      <w:formProt w:val="false"/>
      <w:textDirection w:val="lrTb"/>
      <w:docGrid w:type="default" w:linePitch="10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Georgia">
    <w:charset w:val="01"/>
    <w:family w:val="roman"/>
    <w:pitch w:val="variable"/>
  </w:font>
  <w:font w:name="Consolas">
    <w:charset w:val="01"/>
    <w:family w:val="roman"/>
    <w:pitch w:val="variable"/>
  </w:font>
  <w:font w:name="Liberation Sans">
    <w:altName w:val="Arial"/>
    <w:charset w:val="01"/>
    <w:family w:val="swiss"/>
    <w:pitch w:val="variable"/>
  </w:font>
  <w:font w:name="source serif 4">
    <w:charset w:val="01"/>
    <w:family w:val="roman"/>
    <w:pitch w:val="variable"/>
  </w:font>
  <w:font w:name="source sans 3">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900"/>
        </w:tabs>
        <w:ind w:left="54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bullet"/>
      <w:lvlText w:val=""/>
      <w:lvlJc w:val="left"/>
      <w:pPr>
        <w:tabs>
          <w:tab w:val="num" w:pos="900"/>
        </w:tabs>
        <w:ind w:left="54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
    <w:lvl w:ilvl="0">
      <w:start w:val="1"/>
      <w:numFmt w:val="bullet"/>
      <w:lvlText w:val=""/>
      <w:lvlJc w:val="left"/>
      <w:pPr>
        <w:tabs>
          <w:tab w:val="num" w:pos="900"/>
        </w:tabs>
        <w:ind w:left="54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
    <w:lvl w:ilvl="0">
      <w:start w:val="1"/>
      <w:numFmt w:val="bullet"/>
      <w:lvlText w:val=""/>
      <w:lvlJc w:val="left"/>
      <w:pPr>
        <w:tabs>
          <w:tab w:val="num" w:pos="900"/>
        </w:tabs>
        <w:ind w:left="54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
    <w:lvl w:ilvl="0">
      <w:start w:val="1"/>
      <w:numFmt w:val="bullet"/>
      <w:lvlText w:val=""/>
      <w:lvlJc w:val="left"/>
      <w:pPr>
        <w:tabs>
          <w:tab w:val="num" w:pos="900"/>
        </w:tabs>
        <w:ind w:left="54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
    <w:lvl w:ilvl="0">
      <w:start w:val="1"/>
      <w:numFmt w:val="bullet"/>
      <w:lvlText w:val=""/>
      <w:lvlJc w:val="left"/>
      <w:pPr>
        <w:tabs>
          <w:tab w:val="num" w:pos="900"/>
        </w:tabs>
        <w:ind w:left="54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
    <w:lvl w:ilvl="0">
      <w:start w:val="1"/>
      <w:numFmt w:val="bullet"/>
      <w:lvlText w:val=""/>
      <w:lvlJc w:val="left"/>
      <w:pPr>
        <w:tabs>
          <w:tab w:val="num" w:pos="900"/>
        </w:tabs>
        <w:ind w:left="54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
    <w:lvl w:ilvl="0">
      <w:start w:val="1"/>
      <w:numFmt w:val="bullet"/>
      <w:lvlText w:val=""/>
      <w:lvlJc w:val="left"/>
      <w:pPr>
        <w:tabs>
          <w:tab w:val="num" w:pos="900"/>
        </w:tabs>
        <w:ind w:left="54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
    <w:lvl w:ilvl="0">
      <w:start w:val="1"/>
      <w:numFmt w:val="bullet"/>
      <w:lvlText w:val=""/>
      <w:lvlJc w:val="left"/>
      <w:pPr>
        <w:tabs>
          <w:tab w:val="num" w:pos="900"/>
        </w:tabs>
        <w:ind w:left="54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
    <w:lvl w:ilvl="0">
      <w:start w:val="1"/>
      <w:numFmt w:val="bullet"/>
      <w:lvlText w:val=""/>
      <w:lvlJc w:val="left"/>
      <w:pPr>
        <w:tabs>
          <w:tab w:val="num" w:pos="900"/>
        </w:tabs>
        <w:ind w:left="54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1">
    <w:lvl w:ilvl="0">
      <w:start w:val="1"/>
      <w:numFmt w:val="bullet"/>
      <w:lvlText w:val=""/>
      <w:lvlJc w:val="left"/>
      <w:pPr>
        <w:tabs>
          <w:tab w:val="num" w:pos="900"/>
        </w:tabs>
        <w:ind w:left="54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2">
    <w:lvl w:ilvl="0">
      <w:start w:val="1"/>
      <w:numFmt w:val="bullet"/>
      <w:lvlText w:val=""/>
      <w:lvlJc w:val="left"/>
      <w:pPr>
        <w:tabs>
          <w:tab w:val="num" w:pos="900"/>
        </w:tabs>
        <w:ind w:left="54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3">
    <w:lvl w:ilvl="0">
      <w:start w:val="1"/>
      <w:numFmt w:val="bullet"/>
      <w:lvlText w:val=""/>
      <w:lvlJc w:val="left"/>
      <w:pPr>
        <w:tabs>
          <w:tab w:val="num" w:pos="900"/>
        </w:tabs>
        <w:ind w:left="54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4">
    <w:lvl w:ilvl="0">
      <w:start w:val="1"/>
      <w:numFmt w:val="bullet"/>
      <w:lvlText w:val=""/>
      <w:lvlJc w:val="left"/>
      <w:pPr>
        <w:tabs>
          <w:tab w:val="num" w:pos="900"/>
        </w:tabs>
        <w:ind w:left="54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Calibri" w:cs="" w:cstheme="minorBidi" w:eastAsiaTheme="minorHAnsi" w:hAnsiTheme="minorHAnsi"/>
        <w:sz w:val="21"/>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tLeast" w:line="240" w:before="0" w:after="120"/>
      <w:jc w:val="left"/>
    </w:pPr>
    <w:rPr>
      <w:rFonts w:ascii="Georgia" w:hAnsi="Georgia" w:eastAsia="Calibri" w:cs="" w:cstheme="minorBidi" w:eastAsiaTheme="minorHAnsi" w:hAnsiTheme="minorHAnsi"/>
      <w:color w:val="auto"/>
      <w:kern w:val="0"/>
      <w:sz w:val="21"/>
      <w:szCs w:val="22"/>
      <w:lang w:val="en-US" w:eastAsia="en-US" w:bidi="ar-SA"/>
    </w:rPr>
  </w:style>
  <w:style w:type="character" w:styleId="DefaultParagraphFont" w:default="1">
    <w:name w:val="Default Paragraph Font"/>
    <w:uiPriority w:val="1"/>
    <w:semiHidden/>
    <w:unhideWhenUsed/>
    <w:qFormat/>
    <w:rPr/>
  </w:style>
  <w:style w:type="character" w:styleId="VerbatimChar" w:customStyle="1">
    <w:name w:val="Verbatim Char"/>
    <w:qFormat/>
    <w:rPr>
      <w:rFonts w:ascii="Consolas" w:hAnsi="Consolas"/>
      <w:sz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LibreOffice/24.2.7.2$Linux_X86_64 LibreOffice_project/420$Build-2</Application>
  <AppVersion>15.0000</AppVersion>
  <Pages>10</Pages>
  <Words>1318</Words>
  <Characters>8475</Characters>
  <CharactersWithSpaces>9479</CharactersWithSpaces>
  <Paragraphs>236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2026-06-22T08:08:00Z</dcterms:created>
  <dc:creator>html-to-docx</dc:creator>
  <dc:description/>
  <cp:keywords>html-to-docx</cp:keywords>
  <dc:language>en-US</dc:language>
  <cp:lastModifiedBy/>
  <dcterms:modified xsi:type="dcterms:W3CDTF">2026-06-29T19:17:42Z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