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bookmarkStart w:id="0" w:name="_GoBack"/>
      <w:bookmarkEnd w:id="0"/>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25685AFE" w:rsidR="00653C2A" w:rsidRPr="00977EAE" w:rsidRDefault="00575CE6" w:rsidP="00653C2A">
      <w:pPr>
        <w:jc w:val="center"/>
        <w:rPr>
          <w:sz w:val="44"/>
        </w:rPr>
      </w:pPr>
      <w:r>
        <w:rPr>
          <w:sz w:val="44"/>
        </w:rPr>
        <w:t>Gestaltungsrichtlinien</w:t>
      </w:r>
    </w:p>
    <w:p w14:paraId="2105060B" w14:textId="58C5951C" w:rsidR="00942496" w:rsidRPr="00942496" w:rsidRDefault="00942496" w:rsidP="00653C2A">
      <w:pPr>
        <w:jc w:val="center"/>
        <w:rPr>
          <w:sz w:val="32"/>
        </w:rPr>
      </w:pPr>
      <w:r w:rsidRPr="00942496">
        <w:rPr>
          <w:sz w:val="32"/>
        </w:rPr>
        <w:t>-</w:t>
      </w:r>
    </w:p>
    <w:p w14:paraId="511C9AD0" w14:textId="4193FEC8" w:rsidR="00FD11A9" w:rsidRDefault="00575CE6" w:rsidP="00653C2A">
      <w:pPr>
        <w:jc w:val="center"/>
        <w:rPr>
          <w:color w:val="767171" w:themeColor="background2" w:themeShade="80"/>
          <w:sz w:val="32"/>
        </w:rPr>
      </w:pPr>
      <w:r>
        <w:rPr>
          <w:color w:val="767171" w:themeColor="background2" w:themeShade="80"/>
          <w:sz w:val="32"/>
        </w:rPr>
        <w:t>Empfehlungen für die Gestaltung von Benutzeroberflächen</w:t>
      </w:r>
    </w:p>
    <w:p w14:paraId="5697EDE8" w14:textId="1D8ED026" w:rsidR="002622C5" w:rsidRDefault="002622C5" w:rsidP="00653C2A">
      <w:pPr>
        <w:jc w:val="center"/>
        <w:rPr>
          <w:color w:val="767171" w:themeColor="background2" w:themeShade="80"/>
          <w:sz w:val="32"/>
        </w:rPr>
      </w:pPr>
    </w:p>
    <w:p w14:paraId="0AD406BE" w14:textId="77777777" w:rsidR="002622C5" w:rsidRDefault="002622C5" w:rsidP="00653C2A">
      <w:pPr>
        <w:jc w:val="center"/>
        <w:rPr>
          <w:color w:val="767171" w:themeColor="background2" w:themeShade="80"/>
          <w:sz w:val="32"/>
        </w:rPr>
      </w:pPr>
    </w:p>
    <w:p w14:paraId="39B95128" w14:textId="5520CB3A" w:rsidR="00FD11A9" w:rsidRDefault="00FD11A9" w:rsidP="00653C2A">
      <w:pPr>
        <w:jc w:val="center"/>
        <w:rPr>
          <w:color w:val="767171" w:themeColor="background2" w:themeShade="80"/>
          <w:sz w:val="32"/>
        </w:rPr>
      </w:pPr>
      <w:r>
        <w:rPr>
          <w:color w:val="767171" w:themeColor="background2" w:themeShade="80"/>
          <w:sz w:val="32"/>
        </w:rPr>
        <w:t>Version 1.</w:t>
      </w:r>
      <w:r w:rsidR="00007687">
        <w:rPr>
          <w:color w:val="767171" w:themeColor="background2" w:themeShade="80"/>
          <w:sz w:val="32"/>
        </w:rPr>
        <w:t>3</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861079" w:rsidRDefault="00037162">
          <w:pPr>
            <w:pStyle w:val="Inhaltsverzeichnisberschrift"/>
            <w:rPr>
              <w:rStyle w:val="GuidelineberschriftZchn"/>
              <w:rFonts w:asciiTheme="minorHAnsi" w:hAnsiTheme="minorHAnsi"/>
            </w:rPr>
          </w:pPr>
          <w:r w:rsidRPr="00861079">
            <w:rPr>
              <w:rStyle w:val="GuidelineberschriftZchn"/>
              <w:rFonts w:asciiTheme="minorHAnsi" w:hAnsiTheme="minorHAnsi"/>
            </w:rPr>
            <w:t>Inhalt</w:t>
          </w:r>
        </w:p>
        <w:p w14:paraId="57824839" w14:textId="5D50A9A0" w:rsidR="00A621E4" w:rsidRDefault="00037162">
          <w:pPr>
            <w:pStyle w:val="Verzeichnis1"/>
            <w:tabs>
              <w:tab w:val="left" w:pos="66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9554263" w:history="1">
            <w:r w:rsidR="00A621E4" w:rsidRPr="00861079">
              <w:rPr>
                <w:rStyle w:val="Hyperlink"/>
                <w:noProof/>
              </w:rPr>
              <w:t>0.1</w:t>
            </w:r>
            <w:r w:rsidR="00A621E4" w:rsidRPr="00861079">
              <w:rPr>
                <w:rFonts w:eastAsiaTheme="minorEastAsia"/>
                <w:noProof/>
                <w:lang w:eastAsia="de-DE"/>
              </w:rPr>
              <w:tab/>
            </w:r>
            <w:r w:rsidR="00A621E4" w:rsidRPr="00861079">
              <w:rPr>
                <w:rStyle w:val="Hyperlink"/>
                <w:noProof/>
              </w:rPr>
              <w:t>Zielsetzung des Dokuments</w:t>
            </w:r>
            <w:r w:rsidR="00A621E4">
              <w:rPr>
                <w:noProof/>
                <w:webHidden/>
              </w:rPr>
              <w:tab/>
            </w:r>
            <w:r w:rsidR="00A621E4">
              <w:rPr>
                <w:noProof/>
                <w:webHidden/>
              </w:rPr>
              <w:fldChar w:fldCharType="begin"/>
            </w:r>
            <w:r w:rsidR="00A621E4">
              <w:rPr>
                <w:noProof/>
                <w:webHidden/>
              </w:rPr>
              <w:instrText xml:space="preserve"> PAGEREF _Toc529554263 \h </w:instrText>
            </w:r>
            <w:r w:rsidR="00A621E4">
              <w:rPr>
                <w:noProof/>
                <w:webHidden/>
              </w:rPr>
              <w:fldChar w:fldCharType="separate"/>
            </w:r>
            <w:r w:rsidR="00E0263F">
              <w:rPr>
                <w:b/>
                <w:bCs/>
                <w:noProof/>
                <w:webHidden/>
              </w:rPr>
              <w:t>Fehler! Textmarke nicht definiert.</w:t>
            </w:r>
            <w:r w:rsidR="00A621E4">
              <w:rPr>
                <w:noProof/>
                <w:webHidden/>
              </w:rPr>
              <w:fldChar w:fldCharType="end"/>
            </w:r>
          </w:hyperlink>
        </w:p>
        <w:p w14:paraId="3C199DDB" w14:textId="22CE4502" w:rsidR="00A621E4" w:rsidRDefault="000C6C55">
          <w:pPr>
            <w:pStyle w:val="Verzeichnis1"/>
            <w:tabs>
              <w:tab w:val="left" w:pos="660"/>
              <w:tab w:val="right" w:leader="dot" w:pos="9062"/>
            </w:tabs>
            <w:rPr>
              <w:rFonts w:eastAsiaTheme="minorEastAsia"/>
              <w:noProof/>
              <w:lang w:eastAsia="de-DE"/>
            </w:rPr>
          </w:pPr>
          <w:hyperlink w:anchor="_Toc529554264" w:history="1">
            <w:r w:rsidR="00A621E4" w:rsidRPr="005C5B68">
              <w:rPr>
                <w:rStyle w:val="Hyperlink"/>
                <w:noProof/>
              </w:rPr>
              <w:t>0.2</w:t>
            </w:r>
            <w:r w:rsidR="00A621E4">
              <w:rPr>
                <w:rFonts w:eastAsiaTheme="minorEastAsia"/>
                <w:noProof/>
                <w:lang w:eastAsia="de-DE"/>
              </w:rPr>
              <w:tab/>
            </w:r>
            <w:r w:rsidR="00A621E4" w:rsidRPr="005C5B68">
              <w:rPr>
                <w:rStyle w:val="Hyperlink"/>
                <w:noProof/>
              </w:rPr>
              <w:t>Changelog</w:t>
            </w:r>
            <w:r w:rsidR="00A621E4">
              <w:rPr>
                <w:noProof/>
                <w:webHidden/>
              </w:rPr>
              <w:tab/>
            </w:r>
            <w:r w:rsidR="00A621E4">
              <w:rPr>
                <w:noProof/>
                <w:webHidden/>
              </w:rPr>
              <w:fldChar w:fldCharType="begin"/>
            </w:r>
            <w:r w:rsidR="00A621E4">
              <w:rPr>
                <w:noProof/>
                <w:webHidden/>
              </w:rPr>
              <w:instrText xml:space="preserve"> PAGEREF _Toc529554264 \h </w:instrText>
            </w:r>
            <w:r w:rsidR="00A621E4">
              <w:rPr>
                <w:noProof/>
                <w:webHidden/>
              </w:rPr>
              <w:fldChar w:fldCharType="separate"/>
            </w:r>
            <w:r w:rsidR="00E0263F">
              <w:rPr>
                <w:b/>
                <w:bCs/>
                <w:noProof/>
                <w:webHidden/>
              </w:rPr>
              <w:t>Fehler! Textmarke nicht definiert.</w:t>
            </w:r>
            <w:r w:rsidR="00A621E4">
              <w:rPr>
                <w:noProof/>
                <w:webHidden/>
              </w:rPr>
              <w:fldChar w:fldCharType="end"/>
            </w:r>
          </w:hyperlink>
        </w:p>
        <w:p w14:paraId="3DC9AAA8" w14:textId="22789075" w:rsidR="00A621E4" w:rsidRDefault="000C6C55">
          <w:pPr>
            <w:pStyle w:val="Verzeichnis1"/>
            <w:tabs>
              <w:tab w:val="left" w:pos="440"/>
              <w:tab w:val="right" w:leader="dot" w:pos="9062"/>
            </w:tabs>
            <w:rPr>
              <w:rFonts w:eastAsiaTheme="minorEastAsia"/>
              <w:noProof/>
              <w:lang w:eastAsia="de-DE"/>
            </w:rPr>
          </w:pPr>
          <w:hyperlink w:anchor="_Toc529554265" w:history="1">
            <w:r w:rsidR="00A621E4" w:rsidRPr="005C5B68">
              <w:rPr>
                <w:rStyle w:val="Hyperlink"/>
                <w:noProof/>
              </w:rPr>
              <w:t>1.</w:t>
            </w:r>
            <w:r w:rsidR="00A621E4">
              <w:rPr>
                <w:rFonts w:eastAsiaTheme="minorEastAsia"/>
                <w:noProof/>
                <w:lang w:eastAsia="de-DE"/>
              </w:rPr>
              <w:tab/>
            </w:r>
            <w:r w:rsidR="00A621E4" w:rsidRPr="005C5B68">
              <w:rPr>
                <w:rStyle w:val="Hyperlink"/>
                <w:noProof/>
              </w:rPr>
              <w:t>Ausrichtung</w:t>
            </w:r>
            <w:r w:rsidR="00A621E4">
              <w:rPr>
                <w:noProof/>
                <w:webHidden/>
              </w:rPr>
              <w:tab/>
            </w:r>
            <w:r w:rsidR="00A621E4">
              <w:rPr>
                <w:noProof/>
                <w:webHidden/>
              </w:rPr>
              <w:fldChar w:fldCharType="begin"/>
            </w:r>
            <w:r w:rsidR="00A621E4">
              <w:rPr>
                <w:noProof/>
                <w:webHidden/>
              </w:rPr>
              <w:instrText xml:space="preserve"> PAGEREF _Toc529554265 \h </w:instrText>
            </w:r>
            <w:r w:rsidR="00A621E4">
              <w:rPr>
                <w:noProof/>
                <w:webHidden/>
              </w:rPr>
              <w:fldChar w:fldCharType="separate"/>
            </w:r>
            <w:r w:rsidR="00E0263F">
              <w:rPr>
                <w:b/>
                <w:bCs/>
                <w:noProof/>
                <w:webHidden/>
              </w:rPr>
              <w:t>Fehler! Textmarke nicht definiert.</w:t>
            </w:r>
            <w:r w:rsidR="00A621E4">
              <w:rPr>
                <w:noProof/>
                <w:webHidden/>
              </w:rPr>
              <w:fldChar w:fldCharType="end"/>
            </w:r>
          </w:hyperlink>
        </w:p>
        <w:p w14:paraId="7CA4CF89" w14:textId="775E7188" w:rsidR="00A621E4" w:rsidRDefault="000C6C55">
          <w:pPr>
            <w:pStyle w:val="Verzeichnis1"/>
            <w:tabs>
              <w:tab w:val="left" w:pos="440"/>
              <w:tab w:val="right" w:leader="dot" w:pos="9062"/>
            </w:tabs>
            <w:rPr>
              <w:rFonts w:eastAsiaTheme="minorEastAsia"/>
              <w:noProof/>
              <w:lang w:eastAsia="de-DE"/>
            </w:rPr>
          </w:pPr>
          <w:hyperlink w:anchor="_Toc529554266" w:history="1">
            <w:r w:rsidR="00A621E4" w:rsidRPr="005C5B68">
              <w:rPr>
                <w:rStyle w:val="Hyperlink"/>
                <w:noProof/>
              </w:rPr>
              <w:t>2.</w:t>
            </w:r>
            <w:r w:rsidR="00A621E4">
              <w:rPr>
                <w:rFonts w:eastAsiaTheme="minorEastAsia"/>
                <w:noProof/>
                <w:lang w:eastAsia="de-DE"/>
              </w:rPr>
              <w:tab/>
            </w:r>
            <w:r w:rsidR="00A621E4" w:rsidRPr="005C5B68">
              <w:rPr>
                <w:rStyle w:val="Hyperlink"/>
                <w:noProof/>
              </w:rPr>
              <w:t>Gruppieren von Elementen</w:t>
            </w:r>
            <w:r w:rsidR="00A621E4">
              <w:rPr>
                <w:noProof/>
                <w:webHidden/>
              </w:rPr>
              <w:tab/>
            </w:r>
            <w:r w:rsidR="00A621E4">
              <w:rPr>
                <w:noProof/>
                <w:webHidden/>
              </w:rPr>
              <w:fldChar w:fldCharType="begin"/>
            </w:r>
            <w:r w:rsidR="00A621E4">
              <w:rPr>
                <w:noProof/>
                <w:webHidden/>
              </w:rPr>
              <w:instrText xml:space="preserve"> PAGEREF _Toc529554266 \h </w:instrText>
            </w:r>
            <w:r w:rsidR="00A621E4">
              <w:rPr>
                <w:noProof/>
                <w:webHidden/>
              </w:rPr>
            </w:r>
            <w:r w:rsidR="00A621E4">
              <w:rPr>
                <w:noProof/>
                <w:webHidden/>
              </w:rPr>
              <w:fldChar w:fldCharType="separate"/>
            </w:r>
            <w:r w:rsidR="00E0263F">
              <w:rPr>
                <w:noProof/>
                <w:webHidden/>
              </w:rPr>
              <w:t>3</w:t>
            </w:r>
            <w:r w:rsidR="00A621E4">
              <w:rPr>
                <w:noProof/>
                <w:webHidden/>
              </w:rPr>
              <w:fldChar w:fldCharType="end"/>
            </w:r>
          </w:hyperlink>
        </w:p>
        <w:p w14:paraId="59BAB92C" w14:textId="2927ABE9" w:rsidR="00A621E4" w:rsidRDefault="000C6C55">
          <w:pPr>
            <w:pStyle w:val="Verzeichnis1"/>
            <w:tabs>
              <w:tab w:val="left" w:pos="440"/>
              <w:tab w:val="right" w:leader="dot" w:pos="9062"/>
            </w:tabs>
            <w:rPr>
              <w:rFonts w:eastAsiaTheme="minorEastAsia"/>
              <w:noProof/>
              <w:lang w:eastAsia="de-DE"/>
            </w:rPr>
          </w:pPr>
          <w:hyperlink w:anchor="_Toc529554267" w:history="1">
            <w:r w:rsidR="00A621E4" w:rsidRPr="005C5B68">
              <w:rPr>
                <w:rStyle w:val="Hyperlink"/>
                <w:noProof/>
              </w:rPr>
              <w:t>3.</w:t>
            </w:r>
            <w:r w:rsidR="00A621E4">
              <w:rPr>
                <w:rFonts w:eastAsiaTheme="minorEastAsia"/>
                <w:noProof/>
                <w:lang w:eastAsia="de-DE"/>
              </w:rPr>
              <w:tab/>
            </w:r>
            <w:r w:rsidR="00A621E4" w:rsidRPr="005C5B68">
              <w:rPr>
                <w:rStyle w:val="Hyperlink"/>
                <w:noProof/>
              </w:rPr>
              <w:t>Buttons</w:t>
            </w:r>
            <w:r w:rsidR="00A621E4">
              <w:rPr>
                <w:noProof/>
                <w:webHidden/>
              </w:rPr>
              <w:tab/>
            </w:r>
            <w:r w:rsidR="00A621E4">
              <w:rPr>
                <w:noProof/>
                <w:webHidden/>
              </w:rPr>
              <w:fldChar w:fldCharType="begin"/>
            </w:r>
            <w:r w:rsidR="00A621E4">
              <w:rPr>
                <w:noProof/>
                <w:webHidden/>
              </w:rPr>
              <w:instrText xml:space="preserve"> PAGEREF _Toc529554267 \h </w:instrText>
            </w:r>
            <w:r w:rsidR="00A621E4">
              <w:rPr>
                <w:noProof/>
                <w:webHidden/>
              </w:rPr>
            </w:r>
            <w:r w:rsidR="00A621E4">
              <w:rPr>
                <w:noProof/>
                <w:webHidden/>
              </w:rPr>
              <w:fldChar w:fldCharType="separate"/>
            </w:r>
            <w:r w:rsidR="00E0263F">
              <w:rPr>
                <w:noProof/>
                <w:webHidden/>
              </w:rPr>
              <w:t>4</w:t>
            </w:r>
            <w:r w:rsidR="00A621E4">
              <w:rPr>
                <w:noProof/>
                <w:webHidden/>
              </w:rPr>
              <w:fldChar w:fldCharType="end"/>
            </w:r>
          </w:hyperlink>
        </w:p>
        <w:p w14:paraId="6B5EB74E" w14:textId="3E43FCC2" w:rsidR="00A621E4" w:rsidRDefault="000C6C55">
          <w:pPr>
            <w:pStyle w:val="Verzeichnis1"/>
            <w:tabs>
              <w:tab w:val="left" w:pos="440"/>
              <w:tab w:val="right" w:leader="dot" w:pos="9062"/>
            </w:tabs>
            <w:rPr>
              <w:rFonts w:eastAsiaTheme="minorEastAsia"/>
              <w:noProof/>
              <w:lang w:eastAsia="de-DE"/>
            </w:rPr>
          </w:pPr>
          <w:hyperlink w:anchor="_Toc529554268" w:history="1">
            <w:r w:rsidR="00A621E4" w:rsidRPr="005C5B68">
              <w:rPr>
                <w:rStyle w:val="Hyperlink"/>
                <w:noProof/>
              </w:rPr>
              <w:t>4.</w:t>
            </w:r>
            <w:r w:rsidR="00A621E4">
              <w:rPr>
                <w:rFonts w:eastAsiaTheme="minorEastAsia"/>
                <w:noProof/>
                <w:lang w:eastAsia="de-DE"/>
              </w:rPr>
              <w:tab/>
            </w:r>
            <w:r w:rsidR="00A621E4" w:rsidRPr="005C5B68">
              <w:rPr>
                <w:rStyle w:val="Hyperlink"/>
                <w:noProof/>
              </w:rPr>
              <w:t>Dialogfenster</w:t>
            </w:r>
            <w:r w:rsidR="00A621E4">
              <w:rPr>
                <w:noProof/>
                <w:webHidden/>
              </w:rPr>
              <w:tab/>
            </w:r>
            <w:r w:rsidR="00A621E4">
              <w:rPr>
                <w:noProof/>
                <w:webHidden/>
              </w:rPr>
              <w:fldChar w:fldCharType="begin"/>
            </w:r>
            <w:r w:rsidR="00A621E4">
              <w:rPr>
                <w:noProof/>
                <w:webHidden/>
              </w:rPr>
              <w:instrText xml:space="preserve"> PAGEREF _Toc529554268 \h </w:instrText>
            </w:r>
            <w:r w:rsidR="00A621E4">
              <w:rPr>
                <w:noProof/>
                <w:webHidden/>
              </w:rPr>
            </w:r>
            <w:r w:rsidR="00A621E4">
              <w:rPr>
                <w:noProof/>
                <w:webHidden/>
              </w:rPr>
              <w:fldChar w:fldCharType="separate"/>
            </w:r>
            <w:r w:rsidR="00E0263F">
              <w:rPr>
                <w:noProof/>
                <w:webHidden/>
              </w:rPr>
              <w:t>5</w:t>
            </w:r>
            <w:r w:rsidR="00A621E4">
              <w:rPr>
                <w:noProof/>
                <w:webHidden/>
              </w:rPr>
              <w:fldChar w:fldCharType="end"/>
            </w:r>
          </w:hyperlink>
        </w:p>
        <w:p w14:paraId="2BAB21E0" w14:textId="497B1C19" w:rsidR="00A621E4" w:rsidRDefault="000C6C55">
          <w:pPr>
            <w:pStyle w:val="Verzeichnis1"/>
            <w:tabs>
              <w:tab w:val="left" w:pos="440"/>
              <w:tab w:val="right" w:leader="dot" w:pos="9062"/>
            </w:tabs>
            <w:rPr>
              <w:rFonts w:eastAsiaTheme="minorEastAsia"/>
              <w:noProof/>
              <w:lang w:eastAsia="de-DE"/>
            </w:rPr>
          </w:pPr>
          <w:hyperlink w:anchor="_Toc529554269" w:history="1">
            <w:r w:rsidR="00A621E4" w:rsidRPr="005C5B68">
              <w:rPr>
                <w:rStyle w:val="Hyperlink"/>
                <w:noProof/>
              </w:rPr>
              <w:t>5.</w:t>
            </w:r>
            <w:r w:rsidR="00A621E4">
              <w:rPr>
                <w:rFonts w:eastAsiaTheme="minorEastAsia"/>
                <w:noProof/>
                <w:lang w:eastAsia="de-DE"/>
              </w:rPr>
              <w:tab/>
            </w:r>
            <w:r w:rsidR="00A621E4" w:rsidRPr="005C5B68">
              <w:rPr>
                <w:rStyle w:val="Hyperlink"/>
                <w:noProof/>
              </w:rPr>
              <w:t>Icons</w:t>
            </w:r>
            <w:r w:rsidR="00A621E4">
              <w:rPr>
                <w:noProof/>
                <w:webHidden/>
              </w:rPr>
              <w:tab/>
            </w:r>
            <w:r w:rsidR="00A621E4">
              <w:rPr>
                <w:noProof/>
                <w:webHidden/>
              </w:rPr>
              <w:fldChar w:fldCharType="begin"/>
            </w:r>
            <w:r w:rsidR="00A621E4">
              <w:rPr>
                <w:noProof/>
                <w:webHidden/>
              </w:rPr>
              <w:instrText xml:space="preserve"> PAGEREF _Toc529554269 \h </w:instrText>
            </w:r>
            <w:r w:rsidR="00A621E4">
              <w:rPr>
                <w:noProof/>
                <w:webHidden/>
              </w:rPr>
            </w:r>
            <w:r w:rsidR="00A621E4">
              <w:rPr>
                <w:noProof/>
                <w:webHidden/>
              </w:rPr>
              <w:fldChar w:fldCharType="separate"/>
            </w:r>
            <w:r w:rsidR="00E0263F">
              <w:rPr>
                <w:noProof/>
                <w:webHidden/>
              </w:rPr>
              <w:t>5</w:t>
            </w:r>
            <w:r w:rsidR="00A621E4">
              <w:rPr>
                <w:noProof/>
                <w:webHidden/>
              </w:rPr>
              <w:fldChar w:fldCharType="end"/>
            </w:r>
          </w:hyperlink>
        </w:p>
        <w:p w14:paraId="5F3F4FA3" w14:textId="62B185A9" w:rsidR="00A621E4" w:rsidRDefault="000C6C55">
          <w:pPr>
            <w:pStyle w:val="Verzeichnis1"/>
            <w:tabs>
              <w:tab w:val="left" w:pos="440"/>
              <w:tab w:val="right" w:leader="dot" w:pos="9062"/>
            </w:tabs>
            <w:rPr>
              <w:rFonts w:eastAsiaTheme="minorEastAsia"/>
              <w:noProof/>
              <w:lang w:eastAsia="de-DE"/>
            </w:rPr>
          </w:pPr>
          <w:hyperlink w:anchor="_Toc529554270" w:history="1">
            <w:r w:rsidR="00A621E4" w:rsidRPr="005C5B68">
              <w:rPr>
                <w:rStyle w:val="Hyperlink"/>
                <w:noProof/>
              </w:rPr>
              <w:t>6.</w:t>
            </w:r>
            <w:r w:rsidR="00A621E4">
              <w:rPr>
                <w:rFonts w:eastAsiaTheme="minorEastAsia"/>
                <w:noProof/>
                <w:lang w:eastAsia="de-DE"/>
              </w:rPr>
              <w:tab/>
            </w:r>
            <w:r w:rsidR="00A621E4" w:rsidRPr="005C5B68">
              <w:rPr>
                <w:rStyle w:val="Hyperlink"/>
                <w:noProof/>
              </w:rPr>
              <w:t>Schrift</w:t>
            </w:r>
            <w:r w:rsidR="00A621E4">
              <w:rPr>
                <w:noProof/>
                <w:webHidden/>
              </w:rPr>
              <w:tab/>
            </w:r>
            <w:r w:rsidR="00A621E4">
              <w:rPr>
                <w:noProof/>
                <w:webHidden/>
              </w:rPr>
              <w:fldChar w:fldCharType="begin"/>
            </w:r>
            <w:r w:rsidR="00A621E4">
              <w:rPr>
                <w:noProof/>
                <w:webHidden/>
              </w:rPr>
              <w:instrText xml:space="preserve"> PAGEREF _Toc529554270 \h </w:instrText>
            </w:r>
            <w:r w:rsidR="00A621E4">
              <w:rPr>
                <w:noProof/>
                <w:webHidden/>
              </w:rPr>
            </w:r>
            <w:r w:rsidR="00A621E4">
              <w:rPr>
                <w:noProof/>
                <w:webHidden/>
              </w:rPr>
              <w:fldChar w:fldCharType="separate"/>
            </w:r>
            <w:r w:rsidR="00E0263F">
              <w:rPr>
                <w:noProof/>
                <w:webHidden/>
              </w:rPr>
              <w:t>5</w:t>
            </w:r>
            <w:r w:rsidR="00A621E4">
              <w:rPr>
                <w:noProof/>
                <w:webHidden/>
              </w:rPr>
              <w:fldChar w:fldCharType="end"/>
            </w:r>
          </w:hyperlink>
        </w:p>
        <w:p w14:paraId="1ADF0213" w14:textId="6BD282D8" w:rsidR="00A621E4" w:rsidRDefault="000C6C55">
          <w:pPr>
            <w:pStyle w:val="Verzeichnis1"/>
            <w:tabs>
              <w:tab w:val="left" w:pos="440"/>
              <w:tab w:val="right" w:leader="dot" w:pos="9062"/>
            </w:tabs>
            <w:rPr>
              <w:rFonts w:eastAsiaTheme="minorEastAsia"/>
              <w:noProof/>
              <w:lang w:eastAsia="de-DE"/>
            </w:rPr>
          </w:pPr>
          <w:hyperlink w:anchor="_Toc529554271" w:history="1">
            <w:r w:rsidR="00A621E4" w:rsidRPr="005C5B68">
              <w:rPr>
                <w:rStyle w:val="Hyperlink"/>
                <w:noProof/>
              </w:rPr>
              <w:t>7.</w:t>
            </w:r>
            <w:r w:rsidR="00A621E4">
              <w:rPr>
                <w:rFonts w:eastAsiaTheme="minorEastAsia"/>
                <w:noProof/>
                <w:lang w:eastAsia="de-DE"/>
              </w:rPr>
              <w:tab/>
            </w:r>
            <w:r w:rsidR="00A621E4" w:rsidRPr="005C5B68">
              <w:rPr>
                <w:rStyle w:val="Hyperlink"/>
                <w:noProof/>
              </w:rPr>
              <w:t>Farben</w:t>
            </w:r>
            <w:r w:rsidR="00A621E4">
              <w:rPr>
                <w:noProof/>
                <w:webHidden/>
              </w:rPr>
              <w:tab/>
            </w:r>
            <w:r w:rsidR="00A621E4">
              <w:rPr>
                <w:noProof/>
                <w:webHidden/>
              </w:rPr>
              <w:fldChar w:fldCharType="begin"/>
            </w:r>
            <w:r w:rsidR="00A621E4">
              <w:rPr>
                <w:noProof/>
                <w:webHidden/>
              </w:rPr>
              <w:instrText xml:space="preserve"> PAGEREF _Toc529554271 \h </w:instrText>
            </w:r>
            <w:r w:rsidR="00A621E4">
              <w:rPr>
                <w:noProof/>
                <w:webHidden/>
              </w:rPr>
            </w:r>
            <w:r w:rsidR="00A621E4">
              <w:rPr>
                <w:noProof/>
                <w:webHidden/>
              </w:rPr>
              <w:fldChar w:fldCharType="separate"/>
            </w:r>
            <w:r w:rsidR="00E0263F">
              <w:rPr>
                <w:noProof/>
                <w:webHidden/>
              </w:rPr>
              <w:t>5</w:t>
            </w:r>
            <w:r w:rsidR="00A621E4">
              <w:rPr>
                <w:noProof/>
                <w:webHidden/>
              </w:rPr>
              <w:fldChar w:fldCharType="end"/>
            </w:r>
          </w:hyperlink>
        </w:p>
        <w:p w14:paraId="7AAF9BE7" w14:textId="3A833B2F" w:rsidR="00037162" w:rsidRDefault="00037162">
          <w:r>
            <w:rPr>
              <w:b/>
              <w:bCs/>
            </w:rPr>
            <w:fldChar w:fldCharType="end"/>
          </w:r>
        </w:p>
      </w:sdtContent>
    </w:sdt>
    <w:p w14:paraId="6B79B7ED" w14:textId="2AA5964C" w:rsidR="00544F00" w:rsidRDefault="00544F00" w:rsidP="00037162">
      <w:pPr>
        <w:rPr>
          <w:color w:val="767171" w:themeColor="background2" w:themeShade="80"/>
          <w:sz w:val="32"/>
        </w:rPr>
      </w:pPr>
    </w:p>
    <w:p w14:paraId="2D83AEF0" w14:textId="512AD0C6" w:rsidR="00861079" w:rsidRDefault="00861079" w:rsidP="00861079">
      <w:pPr>
        <w:pStyle w:val="Guidelineberschrift"/>
        <w:numPr>
          <w:ilvl w:val="1"/>
          <w:numId w:val="18"/>
        </w:numPr>
      </w:pPr>
      <w:r>
        <w:t>Ziel des Dokuments</w:t>
      </w:r>
    </w:p>
    <w:p w14:paraId="33847F4A" w14:textId="06B4BEC2" w:rsidR="00557AEA" w:rsidRPr="00861079" w:rsidRDefault="00030F90" w:rsidP="00303794">
      <w:r w:rsidRPr="00861079">
        <w:t xml:space="preserve">Für ein professionelles Auftreten ist es wichtig, dass die ausgelieferte Software ein einheitliches </w:t>
      </w:r>
      <w:r w:rsidR="0086331A" w:rsidRPr="00861079">
        <w:t xml:space="preserve">und vor allem gut strukturiertes Design hat. Es gibt zahlreiche Techniken um </w:t>
      </w:r>
      <w:r w:rsidR="002B69B9" w:rsidRPr="00861079">
        <w:t>dies</w:t>
      </w:r>
      <w:r w:rsidR="008B1623" w:rsidRPr="00861079">
        <w:t xml:space="preserve"> zu erreichen. In diesem Dokument werden einige grundlegende Gestaltungsempfehlungen festgehalten, welche bei jegliche</w:t>
      </w:r>
      <w:r w:rsidR="002B69B9" w:rsidRPr="00861079">
        <w:t>n GUIs</w:t>
      </w:r>
      <w:r w:rsidR="003948F3" w:rsidRPr="00861079">
        <w:t xml:space="preserve"> beachtet werden sollten.</w:t>
      </w:r>
    </w:p>
    <w:p w14:paraId="5684B6A2" w14:textId="209CA279" w:rsidR="00977EAE" w:rsidRPr="00303794" w:rsidRDefault="00FA2683" w:rsidP="00861079">
      <w:pPr>
        <w:pStyle w:val="Guidelineberschrift"/>
        <w:numPr>
          <w:ilvl w:val="1"/>
          <w:numId w:val="18"/>
        </w:numPr>
      </w:pPr>
      <w:r>
        <w:t>Changelog</w:t>
      </w:r>
    </w:p>
    <w:p w14:paraId="3CF1953A" w14:textId="1AF69C8E" w:rsidR="009126B5" w:rsidRDefault="009126B5" w:rsidP="009126B5"/>
    <w:tbl>
      <w:tblPr>
        <w:tblStyle w:val="Tabellenraster"/>
        <w:tblW w:w="0" w:type="auto"/>
        <w:tblLook w:val="04A0" w:firstRow="1" w:lastRow="0" w:firstColumn="1" w:lastColumn="0" w:noHBand="0" w:noVBand="1"/>
      </w:tblPr>
      <w:tblGrid>
        <w:gridCol w:w="2313"/>
        <w:gridCol w:w="2287"/>
        <w:gridCol w:w="2381"/>
        <w:gridCol w:w="2081"/>
      </w:tblGrid>
      <w:tr w:rsidR="009126B5" w14:paraId="132DED29" w14:textId="0DE3D2A8" w:rsidTr="00BB5FB8">
        <w:tc>
          <w:tcPr>
            <w:tcW w:w="2313" w:type="dxa"/>
            <w:shd w:val="pct20" w:color="auto" w:fill="auto"/>
          </w:tcPr>
          <w:p w14:paraId="688A0AE1" w14:textId="53151104" w:rsidR="009126B5" w:rsidRPr="009126B5" w:rsidRDefault="009126B5" w:rsidP="009126B5">
            <w:pPr>
              <w:rPr>
                <w:b/>
              </w:rPr>
            </w:pPr>
            <w:r w:rsidRPr="009126B5">
              <w:rPr>
                <w:b/>
              </w:rPr>
              <w:t>Version</w:t>
            </w:r>
          </w:p>
        </w:tc>
        <w:tc>
          <w:tcPr>
            <w:tcW w:w="2287" w:type="dxa"/>
            <w:shd w:val="pct20" w:color="auto" w:fill="auto"/>
          </w:tcPr>
          <w:p w14:paraId="12D036F4" w14:textId="5E59417C" w:rsidR="009126B5" w:rsidRPr="009126B5" w:rsidRDefault="009126B5" w:rsidP="009126B5">
            <w:pPr>
              <w:rPr>
                <w:b/>
              </w:rPr>
            </w:pPr>
            <w:r w:rsidRPr="009126B5">
              <w:rPr>
                <w:b/>
              </w:rPr>
              <w:t>Datum</w:t>
            </w:r>
          </w:p>
        </w:tc>
        <w:tc>
          <w:tcPr>
            <w:tcW w:w="2381" w:type="dxa"/>
            <w:shd w:val="pct20" w:color="auto" w:fill="auto"/>
          </w:tcPr>
          <w:p w14:paraId="58D8E09E" w14:textId="103C2F1E" w:rsidR="009126B5" w:rsidRPr="009126B5" w:rsidRDefault="009126B5" w:rsidP="009126B5">
            <w:pPr>
              <w:rPr>
                <w:b/>
              </w:rPr>
            </w:pPr>
            <w:r w:rsidRPr="009126B5">
              <w:rPr>
                <w:b/>
              </w:rPr>
              <w:t>Änderung</w:t>
            </w:r>
          </w:p>
        </w:tc>
        <w:tc>
          <w:tcPr>
            <w:tcW w:w="2081" w:type="dxa"/>
            <w:shd w:val="pct20" w:color="auto" w:fill="auto"/>
          </w:tcPr>
          <w:p w14:paraId="78153358" w14:textId="13A8C1D1" w:rsidR="009126B5" w:rsidRPr="009126B5" w:rsidRDefault="009126B5" w:rsidP="009126B5">
            <w:pPr>
              <w:rPr>
                <w:b/>
              </w:rPr>
            </w:pPr>
            <w:r>
              <w:rPr>
                <w:b/>
              </w:rPr>
              <w:t>Geändert von</w:t>
            </w:r>
          </w:p>
        </w:tc>
      </w:tr>
      <w:tr w:rsidR="009126B5" w14:paraId="0A9A18A7" w14:textId="5E1F9810" w:rsidTr="009126B5">
        <w:tc>
          <w:tcPr>
            <w:tcW w:w="2313" w:type="dxa"/>
          </w:tcPr>
          <w:p w14:paraId="63EFF69D" w14:textId="549E4B91" w:rsidR="009126B5" w:rsidRDefault="009126B5" w:rsidP="009126B5">
            <w:r>
              <w:t>1.0</w:t>
            </w:r>
          </w:p>
        </w:tc>
        <w:tc>
          <w:tcPr>
            <w:tcW w:w="2287" w:type="dxa"/>
          </w:tcPr>
          <w:p w14:paraId="07D4D222" w14:textId="774AFC3A" w:rsidR="009126B5" w:rsidRDefault="00FA14AF" w:rsidP="009126B5">
            <w:r>
              <w:t>03.11.2018</w:t>
            </w:r>
          </w:p>
        </w:tc>
        <w:tc>
          <w:tcPr>
            <w:tcW w:w="2381" w:type="dxa"/>
          </w:tcPr>
          <w:p w14:paraId="0A8E27D0" w14:textId="5DE98584" w:rsidR="009126B5" w:rsidRDefault="00557AEA" w:rsidP="009126B5">
            <w:r>
              <w:t>Initial</w:t>
            </w:r>
          </w:p>
        </w:tc>
        <w:tc>
          <w:tcPr>
            <w:tcW w:w="2081" w:type="dxa"/>
          </w:tcPr>
          <w:p w14:paraId="7D19965E" w14:textId="577D7BA9" w:rsidR="009126B5" w:rsidRDefault="00FA14AF" w:rsidP="009126B5">
            <w:r>
              <w:t>Ella Vahle</w:t>
            </w:r>
          </w:p>
        </w:tc>
      </w:tr>
      <w:tr w:rsidR="00CB1FD5" w14:paraId="0B59E217" w14:textId="77777777" w:rsidTr="009126B5">
        <w:tc>
          <w:tcPr>
            <w:tcW w:w="2313" w:type="dxa"/>
          </w:tcPr>
          <w:p w14:paraId="02E84DBB" w14:textId="52C09281" w:rsidR="00CB1FD5" w:rsidRDefault="00CB1FD5" w:rsidP="009126B5">
            <w:r>
              <w:t>1.1</w:t>
            </w:r>
          </w:p>
        </w:tc>
        <w:tc>
          <w:tcPr>
            <w:tcW w:w="2287" w:type="dxa"/>
          </w:tcPr>
          <w:p w14:paraId="24FAB628" w14:textId="08406736" w:rsidR="00CB1FD5" w:rsidRDefault="00CB1FD5" w:rsidP="009126B5">
            <w:r>
              <w:t>06.11.2018</w:t>
            </w:r>
          </w:p>
        </w:tc>
        <w:tc>
          <w:tcPr>
            <w:tcW w:w="2381" w:type="dxa"/>
          </w:tcPr>
          <w:p w14:paraId="412AF15A" w14:textId="094D2FB0" w:rsidR="00CB1FD5" w:rsidRDefault="00CB1FD5" w:rsidP="009126B5">
            <w:r>
              <w:t>Farbschema aktualisiert</w:t>
            </w:r>
          </w:p>
        </w:tc>
        <w:tc>
          <w:tcPr>
            <w:tcW w:w="2081" w:type="dxa"/>
          </w:tcPr>
          <w:p w14:paraId="2779EBDA" w14:textId="347F3B2D" w:rsidR="00CB1FD5" w:rsidRDefault="00CB1FD5" w:rsidP="009126B5">
            <w:r>
              <w:t>Ella Vahle</w:t>
            </w:r>
          </w:p>
        </w:tc>
      </w:tr>
      <w:tr w:rsidR="006316E0" w14:paraId="3AA90A79" w14:textId="77777777" w:rsidTr="009126B5">
        <w:tc>
          <w:tcPr>
            <w:tcW w:w="2313" w:type="dxa"/>
          </w:tcPr>
          <w:p w14:paraId="7C2874D8" w14:textId="6C7802F7" w:rsidR="006316E0" w:rsidRDefault="006316E0" w:rsidP="009126B5">
            <w:r>
              <w:t>1.2</w:t>
            </w:r>
          </w:p>
        </w:tc>
        <w:tc>
          <w:tcPr>
            <w:tcW w:w="2287" w:type="dxa"/>
          </w:tcPr>
          <w:p w14:paraId="37177602" w14:textId="0B38AD10" w:rsidR="006316E0" w:rsidRDefault="006316E0" w:rsidP="009126B5">
            <w:r>
              <w:t>09.11.2018</w:t>
            </w:r>
          </w:p>
        </w:tc>
        <w:tc>
          <w:tcPr>
            <w:tcW w:w="2381" w:type="dxa"/>
          </w:tcPr>
          <w:p w14:paraId="1A17082A" w14:textId="22486ACF" w:rsidR="006316E0" w:rsidRDefault="006316E0" w:rsidP="009126B5">
            <w:r>
              <w:t>Grafiken aktualisiert</w:t>
            </w:r>
          </w:p>
        </w:tc>
        <w:tc>
          <w:tcPr>
            <w:tcW w:w="2081" w:type="dxa"/>
          </w:tcPr>
          <w:p w14:paraId="00A0FA25" w14:textId="67C540F3" w:rsidR="006316E0" w:rsidRDefault="006316E0" w:rsidP="009126B5">
            <w:r>
              <w:t>Ella Vahle</w:t>
            </w:r>
          </w:p>
        </w:tc>
      </w:tr>
      <w:tr w:rsidR="00EF64DF" w14:paraId="449CEA47" w14:textId="77777777" w:rsidTr="009126B5">
        <w:tc>
          <w:tcPr>
            <w:tcW w:w="2313" w:type="dxa"/>
          </w:tcPr>
          <w:p w14:paraId="2FB64437" w14:textId="0F1EE1BA" w:rsidR="00EF64DF" w:rsidRDefault="00EF64DF" w:rsidP="009126B5">
            <w:r>
              <w:t>1.3</w:t>
            </w:r>
          </w:p>
        </w:tc>
        <w:tc>
          <w:tcPr>
            <w:tcW w:w="2287" w:type="dxa"/>
          </w:tcPr>
          <w:p w14:paraId="7E63B57D" w14:textId="450268BB" w:rsidR="00EF64DF" w:rsidRDefault="00EF64DF" w:rsidP="009126B5">
            <w:r>
              <w:t>09.11.2018</w:t>
            </w:r>
          </w:p>
        </w:tc>
        <w:tc>
          <w:tcPr>
            <w:tcW w:w="2381" w:type="dxa"/>
          </w:tcPr>
          <w:p w14:paraId="52366F80" w14:textId="66BF118E" w:rsidR="00EF64DF" w:rsidRDefault="00EF64DF" w:rsidP="009126B5">
            <w:r>
              <w:t>Farben aktualisiert</w:t>
            </w:r>
          </w:p>
        </w:tc>
        <w:tc>
          <w:tcPr>
            <w:tcW w:w="2081" w:type="dxa"/>
          </w:tcPr>
          <w:p w14:paraId="0D605B58" w14:textId="0F15AE72" w:rsidR="00EF64DF" w:rsidRDefault="00EF64DF" w:rsidP="009126B5">
            <w:r>
              <w:t>Ella Vahle</w:t>
            </w:r>
          </w:p>
        </w:tc>
      </w:tr>
    </w:tbl>
    <w:p w14:paraId="01E0A14C" w14:textId="1B17D00A" w:rsidR="009126B5" w:rsidRDefault="009126B5" w:rsidP="009126B5"/>
    <w:p w14:paraId="7B94D58A" w14:textId="6561E5D2" w:rsidR="00557AEA" w:rsidRDefault="00557AEA" w:rsidP="009126B5"/>
    <w:p w14:paraId="77BA9316" w14:textId="4BA99F1D" w:rsidR="00791148" w:rsidRDefault="00791148" w:rsidP="009126B5"/>
    <w:p w14:paraId="4549F992" w14:textId="41F82E4E" w:rsidR="00791148" w:rsidRDefault="00791148" w:rsidP="009126B5"/>
    <w:p w14:paraId="69153F20" w14:textId="6F2391D4" w:rsidR="00791148" w:rsidRDefault="00791148" w:rsidP="009126B5"/>
    <w:p w14:paraId="429E5EBD" w14:textId="50A541B7" w:rsidR="00791148" w:rsidRDefault="00791148" w:rsidP="009126B5"/>
    <w:p w14:paraId="16CB345B" w14:textId="57A3DD5E" w:rsidR="00791148" w:rsidRDefault="00791148" w:rsidP="009126B5"/>
    <w:p w14:paraId="2EAAA613" w14:textId="17BE5264" w:rsidR="00792C5D" w:rsidRDefault="00792C5D" w:rsidP="009126B5"/>
    <w:p w14:paraId="7B6B7D8C" w14:textId="5B7F7C18" w:rsidR="00861079" w:rsidRDefault="00861079" w:rsidP="00861079">
      <w:pPr>
        <w:pStyle w:val="Guidelineberschrift"/>
      </w:pPr>
      <w:r>
        <w:lastRenderedPageBreak/>
        <w:t>Ausrichtung</w:t>
      </w:r>
    </w:p>
    <w:p w14:paraId="247C91D7" w14:textId="639C1C81" w:rsidR="00DB0DDB" w:rsidRDefault="00D35530" w:rsidP="009126B5">
      <w:r>
        <w:t xml:space="preserve">Um ein ordentliches Erscheinungsbild zu erreichen achtet man darauf, dass die Kanten von übereinander/nebeneinanderliegenden </w:t>
      </w:r>
      <w:r w:rsidR="00CF2370">
        <w:t xml:space="preserve">Elementen </w:t>
      </w:r>
      <w:r>
        <w:t>eine Gerade bilden</w:t>
      </w:r>
      <w:r w:rsidR="000835D1">
        <w:t>, ein Objekt also nicht versetzt zu den anderen ist.</w:t>
      </w:r>
    </w:p>
    <w:p w14:paraId="663F585A" w14:textId="13580460" w:rsidR="0010507F" w:rsidRDefault="0010507F" w:rsidP="009126B5">
      <w:r>
        <w:t>Beispiel:</w:t>
      </w:r>
    </w:p>
    <w:p w14:paraId="04A6FC11" w14:textId="2166C34F" w:rsidR="000835D1" w:rsidRDefault="00401DAE" w:rsidP="009126B5">
      <w:r w:rsidRPr="00401DAE">
        <w:rPr>
          <w:noProof/>
        </w:rPr>
        <w:drawing>
          <wp:inline distT="0" distB="0" distL="0" distR="0" wp14:anchorId="757246A1" wp14:editId="3FC3EAEA">
            <wp:extent cx="5760720" cy="2742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2742565"/>
                    </a:xfrm>
                    <a:prstGeom prst="rect">
                      <a:avLst/>
                    </a:prstGeom>
                  </pic:spPr>
                </pic:pic>
              </a:graphicData>
            </a:graphic>
          </wp:inline>
        </w:drawing>
      </w:r>
    </w:p>
    <w:p w14:paraId="54C3D0DE" w14:textId="48ABFFEC" w:rsidR="00C47509" w:rsidRDefault="00737658" w:rsidP="009126B5">
      <w:r>
        <w:t xml:space="preserve">Dies sind natürlich </w:t>
      </w:r>
      <w:r w:rsidR="003A155D">
        <w:t>e</w:t>
      </w:r>
      <w:r>
        <w:t>xtreme Beispiele, aber schon Verschiebungen von wenigen Pixeln fallen störend auf. Das Ziel ist also, wenn Elemente übereinander/nebeneinander liegen</w:t>
      </w:r>
      <w:r w:rsidR="003A155D">
        <w:t>,</w:t>
      </w:r>
      <w:r>
        <w:t xml:space="preserve"> möglichst alle </w:t>
      </w:r>
      <w:r w:rsidR="003A155D">
        <w:t xml:space="preserve">Elemente </w:t>
      </w:r>
      <w:r>
        <w:t>an der gleichen Linie auszurichten. Sowohl oben und unten, als auch rechts und links. Es gibt natürlich auch Fälle, in denen das nicht möglich ist. Beispielsweise bei Text auf der rechten Seite, da unterschiedliche Worte unterschiedlich lang sind.</w:t>
      </w:r>
    </w:p>
    <w:p w14:paraId="7C331BB7" w14:textId="244975BF" w:rsidR="00C47509" w:rsidRDefault="00C47509" w:rsidP="009126B5">
      <w:r>
        <w:t>Auch bei der Nutzung von Text sollte man darauf achten, dass Texte aus unterschiedlichen Elementen ebenfalls auf einer gedachten Linie stehen.</w:t>
      </w:r>
    </w:p>
    <w:p w14:paraId="3136ED57" w14:textId="70907084" w:rsidR="00C47509" w:rsidRDefault="00C47509" w:rsidP="009126B5">
      <w:r>
        <w:t>Beispiel:</w:t>
      </w:r>
    </w:p>
    <w:p w14:paraId="1D5BB865" w14:textId="023AEAEF" w:rsidR="003A155D" w:rsidRDefault="0010507F" w:rsidP="009126B5">
      <w:r w:rsidRPr="0010507F">
        <w:rPr>
          <w:noProof/>
        </w:rPr>
        <w:drawing>
          <wp:inline distT="0" distB="0" distL="0" distR="0" wp14:anchorId="1B4D47DD" wp14:editId="1CF6261A">
            <wp:extent cx="5760720" cy="12592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1259205"/>
                    </a:xfrm>
                    <a:prstGeom prst="rect">
                      <a:avLst/>
                    </a:prstGeom>
                  </pic:spPr>
                </pic:pic>
              </a:graphicData>
            </a:graphic>
          </wp:inline>
        </w:drawing>
      </w:r>
    </w:p>
    <w:p w14:paraId="29537B5D" w14:textId="17642E21" w:rsidR="003A155D" w:rsidRDefault="003A155D" w:rsidP="009126B5"/>
    <w:p w14:paraId="794A547E" w14:textId="77777777" w:rsidR="003A155D" w:rsidRDefault="003A155D" w:rsidP="009126B5"/>
    <w:p w14:paraId="750591B3" w14:textId="507A8665" w:rsidR="00DB0DDB" w:rsidRDefault="00737658" w:rsidP="00861079">
      <w:pPr>
        <w:pStyle w:val="Guidelineberschrift"/>
      </w:pPr>
      <w:bookmarkStart w:id="1" w:name="_Toc529554266"/>
      <w:r>
        <w:t>Gruppieren von Elementen</w:t>
      </w:r>
      <w:bookmarkEnd w:id="1"/>
      <w:r>
        <w:t xml:space="preserve"> </w:t>
      </w:r>
    </w:p>
    <w:p w14:paraId="1B6E0E12" w14:textId="7778675A" w:rsidR="005C5D98" w:rsidRDefault="008C5741" w:rsidP="00795DB9">
      <w:pPr>
        <w:spacing w:after="0"/>
      </w:pPr>
      <w:r>
        <w:t>Um Teile der Oberfläche zusammen zu fassen</w:t>
      </w:r>
      <w:r w:rsidR="0059512D">
        <w:t>,</w:t>
      </w:r>
      <w:r>
        <w:t xml:space="preserve"> sollte</w:t>
      </w:r>
      <w:r w:rsidR="0059512D">
        <w:t>n</w:t>
      </w:r>
      <w:r>
        <w:t xml:space="preserve"> </w:t>
      </w:r>
      <w:r w:rsidR="0059512D">
        <w:t xml:space="preserve">diese </w:t>
      </w:r>
      <w:r>
        <w:t>auf keinen Fall</w:t>
      </w:r>
      <w:r w:rsidR="0059512D">
        <w:t xml:space="preserve"> </w:t>
      </w:r>
      <w:r>
        <w:t xml:space="preserve">umrandet werden. </w:t>
      </w:r>
    </w:p>
    <w:p w14:paraId="379D848D" w14:textId="260355C6" w:rsidR="00F34C6F" w:rsidRDefault="005C5D98" w:rsidP="00795DB9">
      <w:pPr>
        <w:spacing w:after="0"/>
      </w:pPr>
      <w:r>
        <w:t>Eine Möglichkeit besteht darin Gruppen durch Platz zueinander abzugrenzen. Dieses Gestaltungsmittel sollte nur eingesetzt werden, wenn genügend Platz vorhanden ist.</w:t>
      </w:r>
    </w:p>
    <w:p w14:paraId="721AB25F" w14:textId="77777777" w:rsidR="00F34C6F" w:rsidRDefault="00F34C6F" w:rsidP="00795DB9">
      <w:pPr>
        <w:spacing w:after="0"/>
      </w:pPr>
    </w:p>
    <w:p w14:paraId="691313F7" w14:textId="77777777" w:rsidR="0010507F" w:rsidRDefault="005C5D98" w:rsidP="00795DB9">
      <w:pPr>
        <w:spacing w:after="0"/>
      </w:pPr>
      <w:r>
        <w:t>Beispiel:</w:t>
      </w:r>
    </w:p>
    <w:p w14:paraId="2287861B" w14:textId="1BF1E0F8" w:rsidR="005C5D98" w:rsidRDefault="0010507F" w:rsidP="00795DB9">
      <w:pPr>
        <w:spacing w:after="0"/>
      </w:pPr>
      <w:r w:rsidRPr="0010507F">
        <w:rPr>
          <w:noProof/>
        </w:rPr>
        <w:drawing>
          <wp:inline distT="0" distB="0" distL="0" distR="0" wp14:anchorId="67D7ED73" wp14:editId="61BD4BE9">
            <wp:extent cx="4610100" cy="21812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610100" cy="2181225"/>
                    </a:xfrm>
                    <a:prstGeom prst="rect">
                      <a:avLst/>
                    </a:prstGeom>
                  </pic:spPr>
                </pic:pic>
              </a:graphicData>
            </a:graphic>
          </wp:inline>
        </w:drawing>
      </w:r>
    </w:p>
    <w:p w14:paraId="19E2FCF5" w14:textId="5A660813" w:rsidR="005C5D98" w:rsidRDefault="008C5741" w:rsidP="00795DB9">
      <w:pPr>
        <w:spacing w:after="0"/>
      </w:pPr>
      <w:r>
        <w:t xml:space="preserve">Stattdessen </w:t>
      </w:r>
      <w:r w:rsidR="005C5D98">
        <w:t>kann auch</w:t>
      </w:r>
      <w:r>
        <w:t xml:space="preserve"> farblich abgesetzt</w:t>
      </w:r>
      <w:r w:rsidR="003A155D">
        <w:t xml:space="preserve"> </w:t>
      </w:r>
      <w:r>
        <w:t xml:space="preserve">oder mit Schatten gearbeitet werden. Linien können auch verwendet werden, wenn man am unteren und rechten Rand dunkle Linien verwendet und oben und links hellere. Da wir uns an ein modernes Design halten, sollte farbliche Absetzung eingesetzt werden. </w:t>
      </w:r>
      <w:r w:rsidR="005C5D98">
        <w:t>Dabei sind „oben liegende“ Schichten heller als darunterliegende.</w:t>
      </w:r>
    </w:p>
    <w:p w14:paraId="55FB2A81" w14:textId="3A7C2F1B" w:rsidR="00F8197E" w:rsidRDefault="005C5D98" w:rsidP="00795DB9">
      <w:pPr>
        <w:spacing w:after="0"/>
      </w:pPr>
      <w:r>
        <w:t>Beispiel:</w:t>
      </w:r>
    </w:p>
    <w:p w14:paraId="50967ADF" w14:textId="4CE3A708" w:rsidR="00795DB9" w:rsidRDefault="0010507F" w:rsidP="00795DB9">
      <w:pPr>
        <w:spacing w:after="0"/>
      </w:pPr>
      <w:r w:rsidRPr="0010507F">
        <w:rPr>
          <w:noProof/>
        </w:rPr>
        <w:drawing>
          <wp:inline distT="0" distB="0" distL="0" distR="0" wp14:anchorId="548BB51F" wp14:editId="34B5B8B8">
            <wp:extent cx="5760720" cy="34505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3450590"/>
                    </a:xfrm>
                    <a:prstGeom prst="rect">
                      <a:avLst/>
                    </a:prstGeom>
                  </pic:spPr>
                </pic:pic>
              </a:graphicData>
            </a:graphic>
          </wp:inline>
        </w:drawing>
      </w:r>
    </w:p>
    <w:p w14:paraId="112EA280" w14:textId="56133C86" w:rsidR="005C5D98" w:rsidRDefault="00EF1B42" w:rsidP="00795DB9">
      <w:pPr>
        <w:spacing w:after="0"/>
      </w:pPr>
      <w:r>
        <w:t>Wie in diesem Beispiel kann natürlich auch durch Platz und Farbe gleichzeitig gruppiert werden.</w:t>
      </w:r>
    </w:p>
    <w:p w14:paraId="33D6210E" w14:textId="133CBAE8" w:rsidR="001A28A2" w:rsidRDefault="00DD40EA" w:rsidP="00861079">
      <w:pPr>
        <w:pStyle w:val="Guidelineberschrift"/>
      </w:pPr>
      <w:bookmarkStart w:id="2" w:name="_Toc529554267"/>
      <w:r>
        <w:t>Buttons</w:t>
      </w:r>
      <w:bookmarkEnd w:id="2"/>
    </w:p>
    <w:p w14:paraId="72E052ED" w14:textId="0315ECA2" w:rsidR="00912458" w:rsidRDefault="00F8197E" w:rsidP="009D39E5">
      <w:r>
        <w:t xml:space="preserve">Bei der Beschriftung von Buttons ist es wichtig, möglichst konkrete Aussagen zu verwenden. Auch wenn sie sehr verbreitet sind, ist es zu vermeiden Formulierungen wie „Abbrechen“, „Ok“, „Ja“, „Nein“ </w:t>
      </w:r>
      <w:r w:rsidR="003A155D">
        <w:t>und</w:t>
      </w:r>
      <w:r>
        <w:t xml:space="preserve"> Ähnliches zu verwenden. Hat man beispielsweise einen Button um das Spiel abzubrechen, so sollte nicht einfach nur „Abbrechen“ darauf stehen, sondern konkret „Spiel beenden“ oder „Spiel abbrechen“. </w:t>
      </w:r>
    </w:p>
    <w:p w14:paraId="72151818" w14:textId="6C82A373" w:rsidR="00912458" w:rsidRDefault="00F34C6F" w:rsidP="00861079">
      <w:pPr>
        <w:pStyle w:val="Guidelineberschrift"/>
      </w:pPr>
      <w:bookmarkStart w:id="3" w:name="_Toc529554268"/>
      <w:r>
        <w:lastRenderedPageBreak/>
        <w:t>Dialogfenster</w:t>
      </w:r>
      <w:bookmarkEnd w:id="3"/>
    </w:p>
    <w:p w14:paraId="2AA6109F" w14:textId="7B23BC51" w:rsidR="0010507F" w:rsidRDefault="00F34C6F" w:rsidP="00912458">
      <w:r>
        <w:t xml:space="preserve">Wenn Meldungen angezeigt werden, sollten diese nicht als Fragen formuliert werden. Beispielsweise in einem Fenster, welches sich öffnet, wenn man das Spiel abbrechen möchte sollte nicht stehen „Möchten Sie das Spiel wirklich abbrechen?“, sondern „Sie sind dabei das Spiel abzubrechen.“. </w:t>
      </w:r>
    </w:p>
    <w:p w14:paraId="119C2606" w14:textId="1A758CC5" w:rsidR="00061631" w:rsidRDefault="00F34C6F" w:rsidP="00912458">
      <w:r>
        <w:t>In Verbindung mit dem Abschnitt über Buttons könnte ein solches Dialogfenster wie folgt aussehen:</w:t>
      </w:r>
    </w:p>
    <w:p w14:paraId="032330D4" w14:textId="4C02210D" w:rsidR="00F34C6F" w:rsidRDefault="0010507F" w:rsidP="00912458">
      <w:r w:rsidRPr="0010507F">
        <w:rPr>
          <w:noProof/>
        </w:rPr>
        <w:drawing>
          <wp:inline distT="0" distB="0" distL="0" distR="0" wp14:anchorId="03602E26" wp14:editId="6D02E230">
            <wp:extent cx="5047745" cy="2052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047745" cy="2052000"/>
                    </a:xfrm>
                    <a:prstGeom prst="rect">
                      <a:avLst/>
                    </a:prstGeom>
                  </pic:spPr>
                </pic:pic>
              </a:graphicData>
            </a:graphic>
          </wp:inline>
        </w:drawing>
      </w:r>
    </w:p>
    <w:p w14:paraId="08BAD0C2" w14:textId="2317A26A" w:rsidR="00F802CA" w:rsidRDefault="00877385" w:rsidP="00912458">
      <w:r>
        <w:t>Dialogfelder sind wie im obigen Beispiel aufgebaut. Der untere Bereich besteht aus einem dunkleren Balken und beinhal</w:t>
      </w:r>
      <w:r w:rsidR="00BA5BDB">
        <w:t>tet die Buttons des Fensters.</w:t>
      </w:r>
      <w:r w:rsidR="00CF2370">
        <w:t xml:space="preserve"> Der obere Teil enthält den Text der Meldung.</w:t>
      </w:r>
    </w:p>
    <w:p w14:paraId="5D4A1E97" w14:textId="75DF4329" w:rsidR="00D20CD3" w:rsidRDefault="0082107F" w:rsidP="00861079">
      <w:pPr>
        <w:pStyle w:val="Guidelineberschrift"/>
      </w:pPr>
      <w:bookmarkStart w:id="4" w:name="_Toc529554269"/>
      <w:r>
        <w:t>Icons</w:t>
      </w:r>
      <w:bookmarkEnd w:id="4"/>
    </w:p>
    <w:p w14:paraId="02452CDA" w14:textId="1A1F496E" w:rsidR="00247612" w:rsidRDefault="0082107F" w:rsidP="00247612">
      <w:r>
        <w:t>Icons sind möglichst einfach zu halten, aber trotzdem so, dass sie wiedererkennbar sind.</w:t>
      </w:r>
      <w:r w:rsidR="00247612">
        <w:t xml:space="preserve"> Das bedeutet, dass überflüssige Details weggelassen werden sollen. Beispielsweise ein Ordner Icon, kann einfach gehalten werden, indem</w:t>
      </w:r>
      <w:r w:rsidR="00CF2370">
        <w:t xml:space="preserve"> auf</w:t>
      </w:r>
      <w:r w:rsidR="00247612">
        <w:t xml:space="preserve"> </w:t>
      </w:r>
      <w:r w:rsidR="00CF2370">
        <w:t>überflüssige</w:t>
      </w:r>
      <w:r w:rsidR="00247612">
        <w:t xml:space="preserve"> Details wie Blätter in</w:t>
      </w:r>
      <w:r w:rsidR="00CF2370">
        <w:t>nerhalb des</w:t>
      </w:r>
      <w:r w:rsidR="00247612">
        <w:t xml:space="preserve"> Ordner</w:t>
      </w:r>
      <w:r w:rsidR="00CF2370">
        <w:t>s</w:t>
      </w:r>
      <w:r w:rsidR="00247612">
        <w:t xml:space="preserve"> </w:t>
      </w:r>
      <w:r w:rsidR="00CF2370">
        <w:t>verzichtet wird</w:t>
      </w:r>
      <w:r w:rsidR="00FA14AF">
        <w:t xml:space="preserve">. </w:t>
      </w:r>
    </w:p>
    <w:p w14:paraId="3BE11564" w14:textId="79C77553" w:rsidR="00FA14AF" w:rsidRDefault="00FA14AF" w:rsidP="00247612">
      <w:r>
        <w:t>Icons sollten außerdem in einem einheitlichen Stil verwendet werden. Daher empfiehlt es sich alle Icons aus der gleichen Quelle zu beziehen. Hierfür gibt es auch viele kostenlose Bezugsquellen.</w:t>
      </w:r>
    </w:p>
    <w:p w14:paraId="15A9A91A" w14:textId="0A0381C3" w:rsidR="00247612" w:rsidRDefault="00F802CA" w:rsidP="00861079">
      <w:pPr>
        <w:pStyle w:val="Guidelineberschrift"/>
      </w:pPr>
      <w:bookmarkStart w:id="5" w:name="_Toc529554270"/>
      <w:r>
        <w:t>Schrift</w:t>
      </w:r>
      <w:bookmarkEnd w:id="5"/>
    </w:p>
    <w:p w14:paraId="4395D621" w14:textId="6F12FC8E" w:rsidR="00F802CA" w:rsidRDefault="00F802CA" w:rsidP="00F802CA">
      <w:r>
        <w:t>Sämtliche Texte sind in der Schriftart „Tahoma“ zu verfassen.</w:t>
      </w:r>
    </w:p>
    <w:p w14:paraId="094CE77C" w14:textId="77777777" w:rsidR="00EF64DF" w:rsidRDefault="00EF64DF" w:rsidP="00861079">
      <w:pPr>
        <w:pStyle w:val="Guidelineberschrift"/>
      </w:pPr>
      <w:bookmarkStart w:id="6" w:name="_Toc529554271"/>
      <w:r>
        <w:t>Farben</w:t>
      </w:r>
      <w:bookmarkEnd w:id="6"/>
    </w:p>
    <w:p w14:paraId="66592822" w14:textId="5E3226D2" w:rsidR="00EF64DF" w:rsidRDefault="00EF64DF" w:rsidP="00EF64DF">
      <w:r>
        <w:t xml:space="preserve">Verwendet werden relativ neutrale Farben. Das heißt, keine Signalfarben wie knalliges rot einsetzen, außer an Stellen, auf die </w:t>
      </w:r>
      <w:r w:rsidR="00CF2370">
        <w:t>a</w:t>
      </w:r>
      <w:r>
        <w:t xml:space="preserve">ufmerksam gemacht werden soll. Weiterhin sollte man sich möglichst für eine Grundfarbe entscheiden und die verschiedenen Elemente in Farbabstufungen oder sehr ähnlichen Farbtönen gestalten. Beispielsweise könnte man Blau, Lila und Grau zusammen verwenden. Auf keinen Fall sollten sehr kontrastreiche Farben wie rot und grün, oder rot und blau gemeinsam eingesetzt werden. An manchen Stellen, in unserem Fall betrifft das die Spielsteine, lässt sich dies natürlich nicht vermeiden. </w:t>
      </w:r>
    </w:p>
    <w:p w14:paraId="05658103" w14:textId="77777777" w:rsidR="00EF64DF" w:rsidRDefault="00EF64DF" w:rsidP="00EF64DF">
      <w:r>
        <w:t>Das folgende Farbschema gilt das als verpflichtend. Verwendet werden dürfen diese Grundfarben sowie die Grundfarben mit geringerer Intensität nach dem HSL-Modell. Abweichungen sind im Ausnahmefall möglich, MÜSSEN aber abgesprochen werden.</w:t>
      </w:r>
    </w:p>
    <w:p w14:paraId="22130FB5" w14:textId="77777777" w:rsidR="00EF64DF" w:rsidRDefault="00EF64DF" w:rsidP="00EF64DF">
      <w:r>
        <w:rPr>
          <w:noProof/>
        </w:rPr>
        <w:lastRenderedPageBreak/>
        <w:drawing>
          <wp:inline distT="0" distB="0" distL="0" distR="0" wp14:anchorId="0504A4EC" wp14:editId="1E37A5BD">
            <wp:extent cx="5764530" cy="3597910"/>
            <wp:effectExtent l="0" t="0" r="762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4530" cy="3597910"/>
                    </a:xfrm>
                    <a:prstGeom prst="rect">
                      <a:avLst/>
                    </a:prstGeom>
                    <a:noFill/>
                    <a:ln>
                      <a:noFill/>
                    </a:ln>
                  </pic:spPr>
                </pic:pic>
              </a:graphicData>
            </a:graphic>
          </wp:inline>
        </w:drawing>
      </w:r>
    </w:p>
    <w:p w14:paraId="504E4E65" w14:textId="77777777" w:rsidR="00EF64DF" w:rsidRDefault="00EF64DF" w:rsidP="00EF64DF">
      <w:r>
        <w:t>Folgende Werte (im RGB-System) wurden bereits festgelegt:</w:t>
      </w:r>
    </w:p>
    <w:p w14:paraId="67226902" w14:textId="77777777" w:rsidR="00EF64DF" w:rsidRDefault="00EF64DF" w:rsidP="00EF64DF">
      <w:r>
        <w:t>Buttons sind in der Farbe 194, 197, 199 zu gestalten. Als „Hover“-Farbe (wenn der Zeiger über den Button geht) wird 140, 145, 149 genutzt.</w:t>
      </w:r>
    </w:p>
    <w:p w14:paraId="2E235648" w14:textId="77777777" w:rsidR="00EF64DF" w:rsidRDefault="00EF64DF" w:rsidP="00EF64DF">
      <w:r>
        <w:t>Der Balken am unteren Rand hat den Farbton 107, 112, 116. Der Hintergrund des oberen Teils trägt die Farbe 244, 244, 244.</w:t>
      </w:r>
    </w:p>
    <w:p w14:paraId="1CB1D8DB" w14:textId="77777777" w:rsidR="00EF64DF" w:rsidRDefault="00EF64DF" w:rsidP="00EF64DF">
      <w:r>
        <w:t xml:space="preserve">Elemente, die hervorgehoben werden sollen (beispielsweise der aktuelle Spieler) werden mit der Farbe 89, 144, 195 ausgezeichnet. </w:t>
      </w:r>
    </w:p>
    <w:p w14:paraId="6DD91515" w14:textId="77777777" w:rsidR="00EF64DF" w:rsidRDefault="00EF64DF" w:rsidP="00EF64DF">
      <w:r>
        <w:t>Das Spielfeld ist im Farbton 244, 244, 244 zu halten.</w:t>
      </w:r>
    </w:p>
    <w:p w14:paraId="3C0ACA6E" w14:textId="77777777" w:rsidR="00EF64DF" w:rsidRDefault="00EF64DF" w:rsidP="00EF64DF">
      <w:r>
        <w:t>Andere Hintergrundbereiche des Fensters haben die Farbe 194, 197, 199.</w:t>
      </w:r>
    </w:p>
    <w:p w14:paraId="466FC314" w14:textId="77777777" w:rsidR="004B44C6" w:rsidRPr="009126B5" w:rsidRDefault="004B44C6" w:rsidP="00F802CA"/>
    <w:sectPr w:rsidR="004B44C6" w:rsidRPr="009126B5" w:rsidSect="009126B5">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3217" w14:textId="77777777" w:rsidR="000C6C55" w:rsidRDefault="000C6C55" w:rsidP="000069E1">
      <w:pPr>
        <w:spacing w:after="0" w:line="240" w:lineRule="auto"/>
      </w:pPr>
      <w:r>
        <w:separator/>
      </w:r>
    </w:p>
  </w:endnote>
  <w:endnote w:type="continuationSeparator" w:id="0">
    <w:p w14:paraId="49D0F6E3" w14:textId="77777777" w:rsidR="000C6C55" w:rsidRDefault="000C6C55"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4DF4" w14:textId="77777777" w:rsidR="000C6C55" w:rsidRDefault="000C6C55" w:rsidP="000069E1">
      <w:pPr>
        <w:spacing w:after="0" w:line="240" w:lineRule="auto"/>
      </w:pPr>
      <w:r>
        <w:separator/>
      </w:r>
    </w:p>
  </w:footnote>
  <w:footnote w:type="continuationSeparator" w:id="0">
    <w:p w14:paraId="2604C341" w14:textId="77777777" w:rsidR="000C6C55" w:rsidRDefault="000C6C55"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663B1352"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12D9FC37">
          <wp:simplePos x="0" y="0"/>
          <wp:positionH relativeFrom="margin">
            <wp:posOffset>3172681</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DD40EA">
      <w:t>Gestaltungsrichtlinien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1"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0" w15:restartNumberingAfterBreak="0">
    <w:nsid w:val="50796D28"/>
    <w:multiLevelType w:val="multilevel"/>
    <w:tmpl w:val="DC1A83E2"/>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388456F"/>
    <w:multiLevelType w:val="hybridMultilevel"/>
    <w:tmpl w:val="270C77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577750"/>
    <w:multiLevelType w:val="hybridMultilevel"/>
    <w:tmpl w:val="1F78AE3E"/>
    <w:lvl w:ilvl="0" w:tplc="F76A3B16">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6"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1"/>
  </w:num>
  <w:num w:numId="2">
    <w:abstractNumId w:val="2"/>
  </w:num>
  <w:num w:numId="3">
    <w:abstractNumId w:val="16"/>
  </w:num>
  <w:num w:numId="4">
    <w:abstractNumId w:val="6"/>
  </w:num>
  <w:num w:numId="5">
    <w:abstractNumId w:val="0"/>
  </w:num>
  <w:num w:numId="6">
    <w:abstractNumId w:val="15"/>
  </w:num>
  <w:num w:numId="7">
    <w:abstractNumId w:val="13"/>
  </w:num>
  <w:num w:numId="8">
    <w:abstractNumId w:val="9"/>
  </w:num>
  <w:num w:numId="9">
    <w:abstractNumId w:val="8"/>
  </w:num>
  <w:num w:numId="10">
    <w:abstractNumId w:val="7"/>
  </w:num>
  <w:num w:numId="11">
    <w:abstractNumId w:val="5"/>
  </w:num>
  <w:num w:numId="12">
    <w:abstractNumId w:val="4"/>
  </w:num>
  <w:num w:numId="13">
    <w:abstractNumId w:val="3"/>
  </w:num>
  <w:num w:numId="14">
    <w:abstractNumId w:val="16"/>
  </w:num>
  <w:num w:numId="15">
    <w:abstractNumId w:val="14"/>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687"/>
    <w:rsid w:val="000079C5"/>
    <w:rsid w:val="00016078"/>
    <w:rsid w:val="00017F37"/>
    <w:rsid w:val="00030F90"/>
    <w:rsid w:val="00034775"/>
    <w:rsid w:val="00037162"/>
    <w:rsid w:val="00061631"/>
    <w:rsid w:val="000835D1"/>
    <w:rsid w:val="000968FB"/>
    <w:rsid w:val="000A10E2"/>
    <w:rsid w:val="000C6C55"/>
    <w:rsid w:val="0010507F"/>
    <w:rsid w:val="00105E06"/>
    <w:rsid w:val="00106D1F"/>
    <w:rsid w:val="0012386C"/>
    <w:rsid w:val="00123DFF"/>
    <w:rsid w:val="00141466"/>
    <w:rsid w:val="00160AB5"/>
    <w:rsid w:val="0016241E"/>
    <w:rsid w:val="00184EB4"/>
    <w:rsid w:val="001A28A2"/>
    <w:rsid w:val="001C25C2"/>
    <w:rsid w:val="001F05B1"/>
    <w:rsid w:val="00234A29"/>
    <w:rsid w:val="00247612"/>
    <w:rsid w:val="002622C5"/>
    <w:rsid w:val="002944B8"/>
    <w:rsid w:val="002B69B9"/>
    <w:rsid w:val="002D016C"/>
    <w:rsid w:val="002E2ECE"/>
    <w:rsid w:val="00303794"/>
    <w:rsid w:val="00307C59"/>
    <w:rsid w:val="00330B35"/>
    <w:rsid w:val="003443B1"/>
    <w:rsid w:val="0036363C"/>
    <w:rsid w:val="003948F3"/>
    <w:rsid w:val="003A155D"/>
    <w:rsid w:val="003C5B93"/>
    <w:rsid w:val="003E37CF"/>
    <w:rsid w:val="003F096B"/>
    <w:rsid w:val="003F4E61"/>
    <w:rsid w:val="00401DAE"/>
    <w:rsid w:val="0043653C"/>
    <w:rsid w:val="00443232"/>
    <w:rsid w:val="00445FCD"/>
    <w:rsid w:val="004719A7"/>
    <w:rsid w:val="00487083"/>
    <w:rsid w:val="004A0F2C"/>
    <w:rsid w:val="004B44C6"/>
    <w:rsid w:val="00544F00"/>
    <w:rsid w:val="00557AEA"/>
    <w:rsid w:val="00575CE6"/>
    <w:rsid w:val="005939C7"/>
    <w:rsid w:val="0059512D"/>
    <w:rsid w:val="005A6AB0"/>
    <w:rsid w:val="005B5072"/>
    <w:rsid w:val="005C5D98"/>
    <w:rsid w:val="006128D2"/>
    <w:rsid w:val="00617118"/>
    <w:rsid w:val="006316E0"/>
    <w:rsid w:val="0063459C"/>
    <w:rsid w:val="00653C2A"/>
    <w:rsid w:val="006777C9"/>
    <w:rsid w:val="006932C0"/>
    <w:rsid w:val="006B56CA"/>
    <w:rsid w:val="00710732"/>
    <w:rsid w:val="00737658"/>
    <w:rsid w:val="0077212B"/>
    <w:rsid w:val="00785783"/>
    <w:rsid w:val="00791148"/>
    <w:rsid w:val="00792C5D"/>
    <w:rsid w:val="00795DB9"/>
    <w:rsid w:val="007E6A03"/>
    <w:rsid w:val="00804C43"/>
    <w:rsid w:val="0082107F"/>
    <w:rsid w:val="00861079"/>
    <w:rsid w:val="0086331A"/>
    <w:rsid w:val="00877385"/>
    <w:rsid w:val="00883D85"/>
    <w:rsid w:val="008B1623"/>
    <w:rsid w:val="008B67FE"/>
    <w:rsid w:val="008B764F"/>
    <w:rsid w:val="008C5741"/>
    <w:rsid w:val="008D3C88"/>
    <w:rsid w:val="00912458"/>
    <w:rsid w:val="009126B5"/>
    <w:rsid w:val="00942496"/>
    <w:rsid w:val="00944134"/>
    <w:rsid w:val="00947989"/>
    <w:rsid w:val="00977EAE"/>
    <w:rsid w:val="009D39E5"/>
    <w:rsid w:val="00A3660E"/>
    <w:rsid w:val="00A42E5E"/>
    <w:rsid w:val="00A621E4"/>
    <w:rsid w:val="00AB6577"/>
    <w:rsid w:val="00AD1B09"/>
    <w:rsid w:val="00AE6177"/>
    <w:rsid w:val="00B4128F"/>
    <w:rsid w:val="00B7229D"/>
    <w:rsid w:val="00BA5BDB"/>
    <w:rsid w:val="00BB5FB8"/>
    <w:rsid w:val="00BF1669"/>
    <w:rsid w:val="00C21389"/>
    <w:rsid w:val="00C47509"/>
    <w:rsid w:val="00C73936"/>
    <w:rsid w:val="00C8035C"/>
    <w:rsid w:val="00CB1FD5"/>
    <w:rsid w:val="00CD11F8"/>
    <w:rsid w:val="00CF2370"/>
    <w:rsid w:val="00D047F3"/>
    <w:rsid w:val="00D11D4E"/>
    <w:rsid w:val="00D1771A"/>
    <w:rsid w:val="00D20CD3"/>
    <w:rsid w:val="00D35530"/>
    <w:rsid w:val="00DB0DDB"/>
    <w:rsid w:val="00DB2627"/>
    <w:rsid w:val="00DD40EA"/>
    <w:rsid w:val="00E0263F"/>
    <w:rsid w:val="00E74D4F"/>
    <w:rsid w:val="00EF17C5"/>
    <w:rsid w:val="00EF1B42"/>
    <w:rsid w:val="00EF64DF"/>
    <w:rsid w:val="00F052A3"/>
    <w:rsid w:val="00F308F1"/>
    <w:rsid w:val="00F34C6F"/>
    <w:rsid w:val="00F34F3F"/>
    <w:rsid w:val="00F46D0A"/>
    <w:rsid w:val="00F726CD"/>
    <w:rsid w:val="00F802CA"/>
    <w:rsid w:val="00F8197E"/>
    <w:rsid w:val="00F8205E"/>
    <w:rsid w:val="00F97595"/>
    <w:rsid w:val="00FA14AF"/>
    <w:rsid w:val="00FA2683"/>
    <w:rsid w:val="00FB0782"/>
    <w:rsid w:val="00FD11A9"/>
    <w:rsid w:val="00FD6713"/>
    <w:rsid w:val="00FE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861079"/>
    <w:pPr>
      <w:numPr>
        <w:numId w:val="15"/>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861079"/>
    <w:rPr>
      <w:rFonts w:asciiTheme="majorHAnsi" w:eastAsiaTheme="majorEastAsia" w:hAnsiTheme="majorHAnsi" w:cstheme="minorHAns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8471-5406-41F8-B79A-49C86CF1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842</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23</cp:revision>
  <cp:lastPrinted>2019-01-25T17:58:00Z</cp:lastPrinted>
  <dcterms:created xsi:type="dcterms:W3CDTF">2018-11-01T19:08:00Z</dcterms:created>
  <dcterms:modified xsi:type="dcterms:W3CDTF">2019-01-25T17:58:00Z</dcterms:modified>
</cp:coreProperties>
</file>