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840B5" w14:textId="562BFCE3" w:rsidR="00634DBA" w:rsidRPr="004211ED" w:rsidRDefault="004211ED">
      <w:pPr>
        <w:rPr>
          <w:b/>
          <w:bCs/>
          <w:color w:val="EE0000"/>
          <w:sz w:val="32"/>
          <w:szCs w:val="32"/>
        </w:rPr>
      </w:pPr>
      <w:r w:rsidRPr="004211ED">
        <w:rPr>
          <w:b/>
          <w:bCs/>
          <w:color w:val="EE0000"/>
          <w:sz w:val="32"/>
          <w:szCs w:val="32"/>
        </w:rPr>
        <w:t xml:space="preserve">Dr. </w:t>
      </w:r>
      <w:r w:rsidRPr="004211ED">
        <w:rPr>
          <w:b/>
          <w:bCs/>
          <w:color w:val="EE0000"/>
          <w:sz w:val="32"/>
          <w:szCs w:val="32"/>
        </w:rPr>
        <w:t>Amr Abdelrahman</w:t>
      </w:r>
      <w:r w:rsidRPr="004211ED">
        <w:rPr>
          <w:b/>
          <w:bCs/>
          <w:color w:val="EE0000"/>
          <w:sz w:val="32"/>
          <w:szCs w:val="32"/>
        </w:rPr>
        <w:t xml:space="preserve"> is one of the most renowned dentists in Egypt, well-known for conducting workshops on cosmetic fillings, including both anterior and posterior teeth. He shares his expertise with dentists and students, helping advance practical skills and aesthetic dentistry. </w:t>
      </w:r>
    </w:p>
    <w:sectPr w:rsidR="00634DBA" w:rsidRPr="0042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CD"/>
    <w:rsid w:val="001A73CD"/>
    <w:rsid w:val="004211ED"/>
    <w:rsid w:val="00634DBA"/>
    <w:rsid w:val="006A2EC7"/>
    <w:rsid w:val="007273C1"/>
    <w:rsid w:val="00C770A9"/>
    <w:rsid w:val="00DD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D2AF"/>
  <w15:chartTrackingRefBased/>
  <w15:docId w15:val="{446B9BB2-3BAF-4812-8AD8-89B4A10A6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3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4</cp:revision>
  <dcterms:created xsi:type="dcterms:W3CDTF">2026-03-18T18:33:00Z</dcterms:created>
  <dcterms:modified xsi:type="dcterms:W3CDTF">2026-03-18T18:34:00Z</dcterms:modified>
</cp:coreProperties>
</file>