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a8"/>
        <w:bidi w:val="1"/>
        <w:jc w:val="center"/>
        <w:spacing w:before="180" w:after="180" w:line="360" w:lineRule="auto"/>
      </w:pPr>
      <w:r>
        <w:t>اقتصاد سنجش خسارت انرژی جنگ: معیار، دامنه و افق — با چارچوبی برای تخصیص ارزبری در بازسازی</w:t>
      </w:r>
    </w:p>
    <w:p>
      <w:pPr>
        <w:pStyle w:val="a"/>
        <w:bidi w:val="1"/>
        <w:jc w:val="both"/>
        <w:spacing w:before="60" w:after="60" w:line="259" w:lineRule="auto"/>
      </w:pPr>
      <w:r>
        <w:rPr>
          <w:b/>
        </w:rPr>
        <w:t>نسخه‌ی ارسال — ۲۶ شهریور ۱۴۰۵</w:t>
      </w:r>
    </w:p>
    <w:p>
      <w:pPr>
        <w:pBdr>
          <w:bottom w:val="single" w:sz="4" w:space="1" w:color="B9C4CA"/>
        </w:pBdr>
        <w:spacing w:before="120" w:after="120" w:line="240" w:lineRule="auto"/>
      </w:pPr>
      <w:r/>
    </w:p>
    <w:p>
      <w:pPr>
        <w:pStyle w:val="a3"/>
        <w:bidi w:val="1"/>
        <w:jc w:val="both"/>
        <w:spacing w:before="240" w:after="120" w:line="276" w:lineRule="auto"/>
      </w:pPr>
      <w:r>
        <w:t>صفحه‌ی نخست</w:t>
      </w:r>
    </w:p>
    <w:p>
      <w:pPr>
        <w:pStyle w:val="a"/>
        <w:bidi w:val="1"/>
        <w:jc w:val="both"/>
        <w:spacing w:before="60" w:after="60" w:line="240" w:lineRule="auto"/>
      </w:pPr>
      <w:r>
        <w:rPr>
          <w:b/>
        </w:rPr>
        <w:t>عنوان فارسی:</w:t>
      </w:r>
      <w:r>
        <w:t xml:space="preserve"> اقتصاد سنجش خسارت انرژی جنگ: معیار، دامنه و افق — با چارچوبی برای تخصیص ارزبری در بازسازی</w:t>
      </w:r>
    </w:p>
    <w:p>
      <w:pPr>
        <w:pStyle w:val="a"/>
        <w:bidi w:val="1"/>
        <w:jc w:val="both"/>
        <w:spacing w:before="60" w:after="60" w:line="240" w:lineRule="auto"/>
      </w:pPr>
      <w:r>
        <w:rPr>
          <w:b/>
        </w:rPr>
        <w:t>عنوان انگلیسی:</w:t>
      </w:r>
      <w:r>
        <w:t xml:space="preserve"> The Economics of Measuring War Damage to Energy Assets: Basis, Scope and Horizon — with an Allocation Rule for Reconstruction under Foreign-Exchange Scarcity</w:t>
      </w:r>
    </w:p>
    <w:p>
      <w:pPr>
        <w:pStyle w:val="a"/>
        <w:bidi w:val="1"/>
        <w:jc w:val="both"/>
        <w:spacing w:before="60" w:after="60" w:line="240" w:lineRule="auto"/>
      </w:pPr>
      <w:r>
        <w:rPr>
          <w:b/>
        </w:rPr>
        <w:t>نویسندگان:</w:t>
      </w:r>
      <w:r>
        <w:t xml:space="preserve"> علی اسکندری‌پور* — دکتری اقتصاد کشاورزی، دانشگاه ولی‌عصر (عج) رفسنجان / Ali Eskandaripour — Vali-e-Asr University of Rafsanjan</w:t>
      </w:r>
    </w:p>
    <w:p>
      <w:pPr>
        <w:pStyle w:val="a"/>
        <w:bidi w:val="1"/>
        <w:jc w:val="both"/>
        <w:spacing w:before="60" w:after="60" w:line="240" w:lineRule="auto"/>
      </w:pPr>
      <w:r>
        <w:rPr>
          <w:b/>
        </w:rPr>
        <w:t>نویسنده‌ی مسئول (با ستاره *):</w:t>
      </w:r>
      <w:r>
        <w:t xml:space="preserve"> علی اسکندری‌پور · ایمیل: A.eskandaripour@vru.ac.ir · ORCID: 0000-0001-9550-1972</w:t>
      </w:r>
    </w:p>
    <w:p>
      <w:pPr>
        <w:pStyle w:val="a"/>
        <w:bidi w:val="1"/>
        <w:jc w:val="both"/>
        <w:spacing w:before="60" w:after="60" w:line="259" w:lineRule="auto"/>
      </w:pPr>
      <w:r>
        <w:rPr>
          <w:b/>
        </w:rPr>
        <w:t>پانویس صفحه‌ی نخست:</w:t>
      </w:r>
      <w:r>
        <w:t xml:space="preserve"> </w:t>
      </w:r>
      <w:r>
        <w:rPr>
          <w:b/>
        </w:rPr>
        <w:t>نویسنده‌ی مسئول:</w:t>
      </w:r>
      <w:r>
        <w:t xml:space="preserve"> علی اسکندری‌پور · A.eskandaripour@vru.ac.ir · ORCID: 0000-0001-9550-1972 · </w:t>
      </w:r>
      <w:r>
        <w:rPr>
          <w:b/>
        </w:rPr>
        <w:t>How to Cite:</w:t>
      </w:r>
      <w:r>
        <w:t xml:space="preserve"> ⟦پس از تخصیص DOI⟧</w:t>
      </w:r>
    </w:p>
    <w:p>
      <w:pPr>
        <w:pBdr>
          <w:bottom w:val="single" w:sz="4" w:space="1" w:color="B9C4CA"/>
        </w:pBdr>
        <w:spacing w:before="120" w:after="120" w:line="240" w:lineRule="auto"/>
      </w:pPr>
      <w:r/>
    </w:p>
    <w:p>
      <w:pPr>
        <w:pStyle w:val="a3"/>
        <w:bidi w:val="1"/>
        <w:jc w:val="both"/>
        <w:spacing w:before="240" w:after="120" w:line="276" w:lineRule="auto"/>
      </w:pPr>
      <w:r>
        <w:t>چکیده</w:t>
      </w:r>
    </w:p>
    <w:p>
      <w:pPr>
        <w:pStyle w:val="a6"/>
        <w:bidi w:val="1"/>
        <w:jc w:val="both"/>
        <w:spacing w:before="80" w:after="80" w:line="259" w:lineRule="auto"/>
      </w:pPr>
      <w:r>
        <w:t>جنگ اخیر آسیب گسترده‌ای به زیرساخت‌های انرژی ایران وارد کرد، اما ارقام اعلام‌شده برای این خسارت چنان پراکنده‌اند که تصمیم‌گیری درباره‌ی اولویت‌های بازسازی را دشوار کرده است. هدف این پژوهش، ارائه‌ی چارچوبی برای سنجش و تخصیص خسارت انرژی در شرایط کمبود داده بود. پژوهش با تحلیل اسنادی انجام شد؛ جامعه‌ی آماری، اسناد عمومی اسفند ۱۴۰۴ تا شهریور ۱۴۰۵ بود و با نمونه‌گیری هدفمند معیارمحور، اسنادی از افشاهای شرکتی، مصوبات مجامع، بیانیه‌های نهادی و گزارش‌های اقتصادی معتبر انتخاب شد. داده‌ها با سیاهه‌ی استخراج داده‌ی پژوهشگرساخته (۱۴۰۵) گردآوری و با روش تحلیل مضمون در شش مرحله کدگذاری و تحلیل شدند. نتایج نشان داد که بخش عمده‌ی ناسازگاری میان ارقام، نه از خطای محاسبه بلکه از تفاوت معیار ارزش‌گذاری، دامنه‌ی قلم و افق زمانی برمی‌خیزد؛ در دو پرونده‌ی بررسی‌شده، نسبت خسارت کارشناسی‌شده به هزینه‌ی بازسازی ثابت نبود؛ و در نبود قاعده‌ی روشن، تخصیص منابع به نوبت و رابطه می‌افتد، نه به هزینه‌اثربخشی. همچنین الگوی داده‌ها با این فرضیه سازگارتر بود که تجمیع‌نشدن داده‌ی خسارت، بیش از آنکه ریشه در فقدان اطلاعات داشته باشد، از انگیزه‌های افشای شرکتی برمی‌خیزد. نتیجه‌گیری شد که بدون استانداردسازی سه‌گانه‌ی «معیار، دامنه، افق» در گزارش‌دهی خسارت، سیاست بازسازی به تکرار خطای تخصیص ادامه می‌دهد؛ و طراحی رجیستری خسارت با گزارش‌دهی محرمانه‌ی ساختاریافته و انتشار تجمیعی تأخیری، این مانع را با ابزار نهادی موجود برمی‌دارد. در اقتصاد تحریمی نیز تخصیص باید به «قیمت مسیر تأمین واقعاً ممکن» ببندد؛ و سبزی بازسازی تنها با قیمت‌گذاری کربن نهفته در مرحله‌ی تصمیم اثر دارد.</w:t>
      </w:r>
    </w:p>
    <w:p>
      <w:pPr>
        <w:pStyle w:val="a"/>
        <w:bidi w:val="1"/>
        <w:jc w:val="both"/>
        <w:spacing w:before="60" w:after="60" w:line="240" w:lineRule="auto"/>
      </w:pPr>
      <w:r>
        <w:rPr>
          <w:b/>
        </w:rPr>
        <w:t>کلیدواژه‌ها:</w:t>
      </w:r>
      <w:r>
        <w:t xml:space="preserve"> سنجش خسارت جنگ، بازسازی زیرساخت انرژی، ارزبری، کربن نهفته‌ی بازسازی، نرخ سایه‌ی ارز، مشوق‌های افشا</w:t>
      </w:r>
    </w:p>
    <w:p>
      <w:pPr>
        <w:pStyle w:val="a"/>
        <w:bidi w:val="1"/>
        <w:jc w:val="both"/>
        <w:spacing w:before="60" w:after="60" w:line="240" w:lineRule="auto"/>
      </w:pPr>
      <w:r>
        <w:rPr>
          <w:b/>
        </w:rPr>
        <w:t>طبقه‌بندی JEL:</w:t>
      </w:r>
      <w:r>
        <w:t xml:space="preserve"> H56, Q48, Q54, Q56</w:t>
      </w:r>
    </w:p>
    <w:p>
      <w:pPr>
        <w:pBdr>
          <w:bottom w:val="single" w:sz="4" w:space="1" w:color="B9C4CA"/>
        </w:pBdr>
        <w:spacing w:before="120" w:after="120" w:line="240" w:lineRule="auto"/>
      </w:pPr>
      <w:r/>
    </w:p>
    <w:p>
      <w:pPr>
        <w:pStyle w:val="Heading1"/>
        <w:jc w:val="left"/>
        <w:spacing w:before="240" w:after="120" w:line="276" w:lineRule="auto"/>
      </w:pPr>
      <w:r>
        <w:rPr>
          <w:rFonts w:ascii="Times New Roman" w:hAnsi="Times New Roman"/>
        </w:rPr>
        <w:t>Abstract</w:t>
      </w:r>
    </w:p>
    <w:p>
      <w:pPr>
        <w:jc w:val="both"/>
        <w:spacing w:before="80" w:after="80" w:line="259" w:lineRule="auto"/>
      </w:pPr>
      <w:r>
        <w:rPr>
          <w:rFonts w:ascii="Times New Roman" w:hAnsi="Times New Roman"/>
          <w:b/>
        </w:rPr>
        <w:t>1. Introduction / Context</w:t>
      </w:r>
    </w:p>
    <w:p>
      <w:pPr>
        <w:jc w:val="both"/>
        <w:spacing w:before="80" w:after="80" w:line="259" w:lineRule="auto"/>
      </w:pPr>
      <w:r>
        <w:rPr>
          <w:rFonts w:ascii="Times New Roman" w:hAnsi="Times New Roman"/>
        </w:rPr>
        <w:t>War damage to Iran's energy infrastructure is not only a physical loss; it is an accounting problem with fiscal consequences. In the recent conflict, thermal power plants, gas-processing trains in Assaluyeh, oil refineries, steel complexes and petrochemical utilities were struck, and electricity networks were damaged at several thousand points. Emergency credit, foreign-exchange allocations and reconstruction programmes followed. Yet the published damage figures span several orders of magnitude, from one firm's book-value loss to national estimates in the tens of billions of dollars. This paper treats that dispersion not as noise but as an object of analysis.</w:t>
      </w:r>
    </w:p>
    <w:p>
      <w:pPr>
        <w:jc w:val="both"/>
        <w:spacing w:before="80" w:after="80" w:line="259" w:lineRule="auto"/>
      </w:pPr>
      <w:r>
        <w:rPr>
          <w:rFonts w:ascii="Times New Roman" w:hAnsi="Times New Roman"/>
          <w:b/>
        </w:rPr>
        <w:t>2. Problem Statement</w:t>
      </w:r>
    </w:p>
    <w:p>
      <w:pPr>
        <w:jc w:val="both"/>
        <w:spacing w:before="80" w:after="80" w:line="259" w:lineRule="auto"/>
      </w:pPr>
      <w:r>
        <w:rPr>
          <w:rFonts w:ascii="Times New Roman" w:hAnsi="Times New Roman"/>
        </w:rPr>
        <w:t>The binding policy question is not how large the damage was, but which number, for which decision, on which basis. Three sources of incompatibility lie beneath the recorded figures: the valuation basis (historical book value, depreciated replacement cost, official appraisal); the scope of the unit (asset, firm, industry, province, nation); and the time horizon of the estimate. In data-scarce settings these are averaged away as measurement error — the operation that produces misallocation: budgets set on historical book values under-fund assets whose replacement cost depreciation has inflated. The paper asks whether a transparent, document-based framework can replace discretionary allocation where disclosure is weak.</w:t>
      </w:r>
    </w:p>
    <w:p>
      <w:pPr>
        <w:jc w:val="both"/>
        <w:spacing w:before="80" w:after="80" w:line="259" w:lineRule="auto"/>
      </w:pPr>
      <w:r>
        <w:rPr>
          <w:rFonts w:ascii="Times New Roman" w:hAnsi="Times New Roman"/>
          <w:b/>
        </w:rPr>
        <w:t>3. Analysis and Key Findings</w:t>
      </w:r>
    </w:p>
    <w:p>
      <w:pPr>
        <w:jc w:val="both"/>
        <w:spacing w:before="80" w:after="80" w:line="259" w:lineRule="auto"/>
      </w:pPr>
      <w:r>
        <w:rPr>
          <w:rFonts w:ascii="Times New Roman" w:hAnsi="Times New Roman"/>
        </w:rPr>
        <w:t>The analysis rests on public documents only — disclosures, assembly minutes, official statements and press reports — each dated and tagged by scope, basis and capacity. Four findings emerge. First, in the two cases examined, no stable ratio between appraised damage and the announced reconstruction programme was observed: in this corpus, cases range from roughly one-third to more than a hundred times, so no damage-to-needs multiplier is defensible; dispersion itself is the result. Second, decomposition of the inconsistencies shows that most originate in scope, definition and timing — not in the data; one consultancy alone revised its estimate from $25bn to $34–58bn within three weeks — while a smaller residual reflects genuine estimator uncertainty, with two press accounts of the same count differing by 13%. Third, non-aggregation is better explained by disclosure incentives than by incapacity: disclosure of material war damage is legally required, yet a non-public route to the regulator exists, whereas a Group A disclosure triggers automatic trading suspension. Fourth, recovery proceeds through three mechanisms — bypass, overhaul, structural reconstruction — on day, week and year scales.</w:t>
      </w:r>
    </w:p>
    <w:p>
      <w:pPr>
        <w:jc w:val="both"/>
        <w:spacing w:before="80" w:after="80" w:line="259" w:lineRule="auto"/>
      </w:pPr>
      <w:r>
        <w:rPr>
          <w:rFonts w:ascii="Times New Roman" w:hAnsi="Times New Roman"/>
          <w:b/>
        </w:rPr>
        <w:t>4. Policy Recommendations</w:t>
      </w:r>
    </w:p>
    <w:p>
      <w:pPr>
        <w:jc w:val="both"/>
        <w:spacing w:before="80" w:after="80" w:line="259" w:lineRule="auto"/>
      </w:pPr>
      <w:r>
        <w:rPr>
          <w:rFonts w:ascii="Times New Roman" w:hAnsi="Times New Roman"/>
        </w:rPr>
        <w:t>Four implementable packages follow, none requiring legislative amendment. First, a confidential structured damage registry with delayed aggregate publication, modelled on the existing legal option of delayed disclosure with regulator notification, every figure carrying scope, basis and date labels. Second, an allocation rule for foreign exchange based on cost per unit of restored service, making the shadow price of currency explicit and replacing queue-based allocation; under sanctions, ranking must price the available supply route. Third, a quantified resilience standard — an N-1 criterion for gas and an explicit reserve-margin target for power. Fourth, embodied carbon and foreign-exchange intensity as tender criteria, turning green reconstruction into a procurement rule.</w:t>
      </w:r>
    </w:p>
    <w:p>
      <w:pPr>
        <w:jc w:val="left"/>
        <w:spacing w:before="60" w:after="60" w:line="240" w:lineRule="auto"/>
      </w:pPr>
      <w:r>
        <w:rPr>
          <w:rFonts w:ascii="Times New Roman" w:hAnsi="Times New Roman"/>
          <w:b/>
        </w:rPr>
        <w:t>Keywords:</w:t>
      </w:r>
      <w:r>
        <w:rPr>
          <w:rFonts w:ascii="Times New Roman" w:hAnsi="Times New Roman"/>
        </w:rPr>
        <w:t xml:space="preserve"> War Damage Valuation, Energy Infrastructure Reconstruction, Foreign-Exchange Intensity, Embodied Carbon of Reconstruction, Shadow Exchange Rate, Disclosure Incentives</w:t>
      </w:r>
    </w:p>
    <w:p>
      <w:pPr>
        <w:jc w:val="left"/>
        <w:spacing w:before="60" w:after="60" w:line="240" w:lineRule="auto"/>
      </w:pPr>
      <w:r>
        <w:rPr>
          <w:rFonts w:ascii="Times New Roman" w:hAnsi="Times New Roman"/>
          <w:b/>
        </w:rPr>
        <w:t>JEL Classification:</w:t>
      </w:r>
      <w:r>
        <w:rPr>
          <w:rFonts w:ascii="Times New Roman" w:hAnsi="Times New Roman"/>
        </w:rPr>
        <w:t xml:space="preserve"> H56, Q48, Q54, Q56</w:t>
      </w:r>
    </w:p>
    <w:p>
      <w:pPr>
        <w:pBdr>
          <w:bottom w:val="single" w:sz="4" w:space="1" w:color="B9C4CA"/>
        </w:pBdr>
        <w:spacing w:before="120" w:after="120" w:line="240" w:lineRule="auto"/>
      </w:pPr>
      <w:r/>
    </w:p>
    <w:p>
      <w:pPr>
        <w:pStyle w:val="a3"/>
        <w:bidi w:val="1"/>
        <w:jc w:val="both"/>
        <w:spacing w:before="240" w:after="120" w:line="276" w:lineRule="auto"/>
      </w:pPr>
      <w:r>
        <w:t>۱. مقدمه و بیان مسئله</w:t>
      </w:r>
    </w:p>
    <w:p>
      <w:pPr>
        <w:pStyle w:val="a"/>
        <w:bidi w:val="1"/>
        <w:jc w:val="both"/>
        <w:spacing w:before="60" w:after="60" w:line="259" w:lineRule="auto"/>
      </w:pPr>
      <w:r>
        <w:t>جنگ، پیش از آنکه ویرانه بر جای گذارد، یک مسئله‌ی حسابداری می‌سازد. در جنگ اخیر، نیروگاه‌های حرارتی، واحدهای فرآورش گاز در عسلویه، پالایشگاه‌های نفت و تأسیسات جانبی پتروشیمی هدف قرار گرفتند و شبکه‌ی برق، بر پایه‌ی اعلام رسمی، در چند هزار نقطه آسیب دید؛ اکنون بازگرداندن همین دارایی‌ها، سیاست مالی و ارزی کشور را به خود مشغول کرده است؛ اما ارقامی که برای اندازه‌ی این خسارت اعلام شده‌اند، چنان پراکنده‌اند که تصمیم‌گیری را دشوار می‌کنند: از خسارت دفتری یک شرکت که کمتر از یک‌دهم همت است، تا برآوردهای ملی که ده‌ها هزار میلیارد تومان را در بر می‌گیرند.</w:t>
      </w:r>
    </w:p>
    <w:p>
      <w:pPr>
        <w:pStyle w:val="a"/>
        <w:bidi w:val="1"/>
        <w:jc w:val="both"/>
        <w:spacing w:before="60" w:after="60" w:line="259" w:lineRule="auto"/>
      </w:pPr>
      <w:r>
        <w:t xml:space="preserve">این پراکندگی را می‌توان خطای اندازه‌گیری خواند؛ اما بخش عمده‌ی آن از جای دیگری می‌آید: تفاوت در معیار ارزش‌گذاری، دامنه‌ی قلم و افق زمانی. اگر چنین باشد، میانگین‌گیری مسئله را پنهان می‌کند، نه حل. بنابراین پرسش این پژوهش، اندازه‌ی خسارت نیست؛ </w:t>
      </w:r>
      <w:r>
        <w:rPr>
          <w:b/>
        </w:rPr>
        <w:t>قاعده‌مندی سنجش آن</w:t>
      </w:r>
      <w:r>
        <w:t xml:space="preserve"> است.</w:t>
      </w:r>
    </w:p>
    <w:p>
      <w:pPr>
        <w:pStyle w:val="a"/>
        <w:bidi w:val="1"/>
        <w:jc w:val="both"/>
        <w:spacing w:before="60" w:after="60" w:line="259" w:lineRule="auto"/>
      </w:pPr>
      <w:r>
        <w:t>در ادبیات بین‌المللی، چارچوب‌های ارزیابی پس از فاجعه بر تفکیک سه‌گانه‌ی «خسارت دارایی، زیان کارکردی و نیاز بازسازی» استوارند و تفکیک زیان اقتصادی از غیراقتصادی را شرط اعتبار ارزش‌گذاری می‌دانند. ادبیات تاب‌آوری نشان داده است که هزینه‌ی اختلال، تابعی از افزونگی ظرفیت و سرعت بازیابی است، نه صرفاً شدت آسیب؛ و ادبیات ارزش‌گذاری پیامدهای مخاصمه، انتشار ناشی از حمله را به فهرست اقلام قابل‌مطالبه افزوده است.</w:t>
      </w:r>
    </w:p>
    <w:p>
      <w:pPr>
        <w:pStyle w:val="a"/>
        <w:bidi w:val="1"/>
        <w:jc w:val="both"/>
        <w:spacing w:before="60" w:after="60" w:line="259" w:lineRule="auto"/>
      </w:pPr>
      <w:r>
        <w:t>در پژوهش‌های داخلی مرتبط با جنگ اخیر، تمرکز غالب بر توصیف پیامدها و الگوی احیا بوده است و — تا آنجا که بررسی شد — «اقتصاد سنجش خسارت»، یعنی تبدیل معیار و دامنه و افق زمانی به موضوع تحلیل، کمتر مورد توجه قرار گرفته است (طاوسی و همکاران، ۱۴۰۴؛ شریفی و شمس‌اللهی، ۱۴۰۴؛ عابدی، ۱۴۰۴). این خلأ آنجا اهمیت می‌یابد که تخصیص منابع بازسازی با تورم بالا، نرخ ارز چندگانه و افشای ناقص انجام می‌شود؛ محیطی که در آن دو نهاد می‌توانند با اعداد «هر دو درست» به دو نتیجه‌ی متضاد برسند.</w:t>
      </w:r>
    </w:p>
    <w:p>
      <w:pPr>
        <w:pStyle w:val="a"/>
        <w:bidi w:val="1"/>
        <w:jc w:val="both"/>
        <w:spacing w:before="60" w:after="60" w:line="259" w:lineRule="auto"/>
      </w:pPr>
      <w:r>
        <w:t>بر این اساس، پرسش پژوهش چنین است: آیا با اتکا به داده‌های عمومی موجود، می‌توان چارچوبی ساخت که نخست، ناسازگاری ارقام را به‌جای سرپوش‌گذاشتن، به‌صورت متغیر تحلیل‌پذیر درآورد؛ و دوم، از دل آن، قاعده‌ای برای اولویت‌بندی تخصیص بودجه و ارز در بازسازی به دست دهد؟ پاسخ به این پرسش، هم برای نهادهای مالی و برنامه‌ریز با سهمیه‌ی محدود ارز و هم برای ناشرانی که افشا را پرهزینه می‌یابند، پیامد عملی دارد.</w:t>
      </w:r>
    </w:p>
    <w:p>
      <w:pPr>
        <w:pStyle w:val="a"/>
        <w:bidi w:val="1"/>
        <w:jc w:val="both"/>
        <w:spacing w:before="60" w:after="60" w:line="259" w:lineRule="auto"/>
      </w:pPr>
      <w:r>
        <w:t xml:space="preserve">پژوهش‌های منتشرشده در همین حوزه، از جمله مطالعه‌ی بدهی بوم‌شناختی و الگوی بازسازی سبز در حوزه‌های آبخیز (طاوسی و همکاران، ۱۴۰۴)، تحلیل اقتصاد محیط‌زیست پس از جنگ با تمرکز بر ساختار مشوق‌ها در سطح حکمرانی (شریفی و شمس‌اللهی، ۱۴۰۴)، و چارچوب سیاستی گذار تجدیدپذیر برای تاب‌آوری انرژی (عابدی، ۱۴۰۴)، هر یک لایه‌ای از مسئله را گشوده‌اند. تمایز پژوهش حاضر در آن است که به‌جای طراحی الگوی احیا یا تحلیل حکمرانی کلان، </w:t>
      </w:r>
      <w:r>
        <w:rPr>
          <w:b/>
        </w:rPr>
        <w:t>اقتصادِ سنجش</w:t>
      </w:r>
      <w:r>
        <w:t xml:space="preserve"> را موضوع می‌کند: اینکه معیار ارزش‌گذاری، دامنه و افق زمانی چگونه اعداد را جابه‌جا می‌کنند و چگونه می‌توان از همین داده‌ها به یک قاعده‌ی تخصیص رسید. ارقام محیط‌زیستی موجود نیز در این پژوهش نه به‌عنوان داده‌ی تازه، بلکه به‌عنوان لایه‌ای که باید </w:t>
      </w:r>
      <w:r>
        <w:rPr>
          <w:b/>
        </w:rPr>
        <w:t>روش ارزش‌گذاری</w:t>
      </w:r>
      <w:r>
        <w:t xml:space="preserve"> بخورد، بازخوانی می‌شود.</w:t>
      </w:r>
    </w:p>
    <w:p>
      <w:pPr>
        <w:pBdr>
          <w:bottom w:val="single" w:sz="4" w:space="1" w:color="B9C4CA"/>
        </w:pBdr>
        <w:spacing w:before="120" w:after="120" w:line="240" w:lineRule="auto"/>
      </w:pPr>
      <w:r/>
    </w:p>
    <w:p>
      <w:pPr>
        <w:pStyle w:val="a3"/>
        <w:bidi w:val="1"/>
        <w:jc w:val="both"/>
        <w:spacing w:before="240" w:after="120" w:line="276" w:lineRule="auto"/>
      </w:pPr>
      <w:r>
        <w:t>۲. تحلیل و بحث</w:t>
      </w:r>
    </w:p>
    <w:p>
      <w:pPr>
        <w:pStyle w:val="a3"/>
        <w:bidi w:val="1"/>
        <w:jc w:val="both"/>
        <w:spacing w:before="200" w:after="100" w:line="259" w:lineRule="auto"/>
      </w:pPr>
      <w:r>
        <w:t>الف) چارچوب و روش: سند، برچسب، تاریخ</w:t>
      </w:r>
    </w:p>
    <w:p>
      <w:pPr>
        <w:pStyle w:val="a"/>
        <w:bidi w:val="1"/>
        <w:jc w:val="both"/>
        <w:spacing w:before="60" w:after="60" w:line="259" w:lineRule="auto"/>
      </w:pPr>
      <w:r>
        <w:t xml:space="preserve">هیچ عددی از جایی جز یک سند عمومی برنخاسته است؛ اما شرط ورود بیش از «داشتن سند» بود: هر عدد باید سه برچسب داشته باشد — </w:t>
      </w:r>
      <w:r>
        <w:rPr>
          <w:b/>
        </w:rPr>
        <w:t>دامنه</w:t>
      </w:r>
      <w:r>
        <w:t xml:space="preserve">، </w:t>
      </w:r>
      <w:r>
        <w:rPr>
          <w:b/>
        </w:rPr>
        <w:t>مبنا</w:t>
      </w:r>
      <w:r>
        <w:t xml:space="preserve"> و </w:t>
      </w:r>
      <w:r>
        <w:rPr>
          <w:b/>
        </w:rPr>
        <w:t>تاریخ</w:t>
      </w:r>
      <w:r>
        <w:t>؛ زیرا در اقتصادی با تورم ۶۵ درصدی، عددِ بی‌تاریخ فقط ادعاست.</w:t>
      </w:r>
    </w:p>
    <w:p>
      <w:pPr>
        <w:pStyle w:val="a"/>
        <w:bidi w:val="1"/>
        <w:jc w:val="both"/>
        <w:spacing w:before="60" w:after="60" w:line="259" w:lineRule="auto"/>
      </w:pPr>
      <w:r>
        <w:t>پیکره از سه مسیر گرد آمد: افشاهای کدال، گزارش‌های رسمی وزارت نفت و توانیر، و برآوردهای نهادی بازه‌ی ۹ اسفند ۱۴۰۴ تا ۲۱ شهریور ۱۴۰۵.</w:t>
      </w:r>
      <w:r>
        <w:rPr>
          <w:vertAlign w:val="superscript"/>
        </w:rPr>
        <w:t>۱</w:t>
      </w:r>
      <w:r>
        <w:t xml:space="preserve"> واحد تحلیل، </w:t>
      </w:r>
      <w:r>
        <w:rPr>
          <w:b/>
        </w:rPr>
        <w:t>گزاره‌ی عددی سنددار</w:t>
      </w:r>
      <w:r>
        <w:t xml:space="preserve"> است (یک سند × یک قلم عددی). پیکره ۵۵ گزاره در پنج گروه است، با ۹ لنگر بیرونی؛ و برای هشت دارایی انرژی (مبین تا شبکه‌های برق و گاز) پرونده تشکیل شد (جدول پ-۵). کدگذاری با تحلیل مضمون (براون و کلارک، ۲۰۰۶)، چارچوب تاب‌آوری از ادبیات ابعاد چهارگانه (برونو و همکاران، ۲۰۰۳؛ رز، ۲۰۰۷) و منطق انتساب بر پایه‌ی رویه‌ی بین‌المللی ارزیابی خسارت زیست‌محیطی تنظیم شد: کمیسیون جبران خسارت سازمان ملل (۲۰۰۵، بندهای ۲۹–۳۱، ۳۶–۳۸، ۴۴–۵۸، ۷۲–۸۲) هزینه‌ی احیا، زیان موقت خدمات و خسارت منابع فاقد ارزش تجاری را تفکیک کرد و وصول را به اثبات انتساب مستقیم و کفایت شواهد مشروط دانست؛ چارچوب‌های پس از فاجعه (سندای، ۲۰۱۵؛ بانک جهانی، ۲۰۲۴) نیز به کار رفت.</w:t>
      </w:r>
    </w:p>
    <w:p>
      <w:pPr>
        <w:pStyle w:val="a"/>
        <w:bidi w:val="1"/>
        <w:jc w:val="both"/>
        <w:spacing w:before="60" w:after="60" w:line="259" w:lineRule="auto"/>
      </w:pPr>
      <w:r>
        <w:t xml:space="preserve">چهارده ناسازگاری مستند، پراکنده و تصادفی نبودند؛ جدول ۲ دسته‌بندی آن‌هاست. یک مشاهده‌ی نرخ ارز (۱۲٬۰۰۰ تومان، سال پایه نامعلوم) هم کنار گذاشته شد. دو نقش را جدا کردیم: </w:t>
      </w:r>
      <w:r>
        <w:rPr>
          <w:b/>
        </w:rPr>
        <w:t>ارزش‌گذاری خسارت</w:t>
      </w:r>
      <w:r>
        <w:t xml:space="preserve"> به نرخ روز وقوع (۱۶۵٬۷۲۰ تومان، آستانه‌ی جنگ) و </w:t>
      </w:r>
      <w:r>
        <w:rPr>
          <w:b/>
        </w:rPr>
        <w:t>تسعیر تعهد ارزی بازسازی</w:t>
      </w:r>
      <w:r>
        <w:t xml:space="preserve"> به نرخ روز تأمین ارز؛ کران پایین، ارزان‌ترین راه تأمین ارز در پنجره است (۱۳۷٬۴۷۳، حواله‌ی فروردین ۱۴۰۵). جدول ۱ چهار نرخ سنددار را با تاریخ و کاربردشان می‌آورد؛ محاسبات با نرخ پایه انجام شده و حساسیت در جدول ۳ آزموده می‌شود.</w:t>
      </w:r>
    </w:p>
    <w:p>
      <w:pPr>
        <w:pStyle w:val="a2"/>
        <w:bidi w:val="1"/>
        <w:jc w:val="center"/>
        <w:spacing w:before="120" w:after="60" w:line="216" w:lineRule="auto"/>
      </w:pPr>
      <w:r>
        <w:t>جدول ۱. نرخ‌های ارز به‌کاررفته در برآوردهای خسارت و مبنای هر نرخ (۱۴۰۴–۱۴۰۵)</w:t>
      </w:r>
    </w:p>
    <w:tbl>
      <w:tblPr>
        <w:tblStyle w:val="TableGrid"/>
        <w:tblW w:type="auto" w:w="0"/>
        <w:jc w:val="center"/>
        <w:tblLayout w:type="autofit"/>
        <w:tblLook w:firstColumn="1" w:firstRow="1" w:lastColumn="0" w:lastRow="0" w:noHBand="0" w:noVBand="1" w:val="04A0"/>
        <w:bidiVisual/>
      </w:tblPr>
      <w:tblGrid>
        <w:gridCol w:w="2267"/>
        <w:gridCol w:w="2267"/>
        <w:gridCol w:w="2267"/>
      </w:tblGrid>
      <w:tr>
        <w:trPr/>
        <w:tc>
          <w:tcPr>
            <w:tcW w:type="dxa" w:w="2267"/>
            <w:vAlign w:val="center"/>
            <w:shd w:val="clear" w:color="auto" w:fill="EEF4F7"/>
            <w:tcMar>
              <w:top w:w="80" w:type="dxa"/>
              <w:left w:w="80" w:type="dxa"/>
              <w:bottom w:w="80" w:type="dxa"/>
              <w:right w:w="80" w:type="dxa"/>
            </w:tcMar>
          </w:tcPr>
          <w:p>
            <w:pPr>
              <w:bidi w:val="1"/>
              <w:jc w:val="center"/>
            </w:pPr>
            <w:r>
              <w:rPr>
                <w:b/>
                <w:sz w:val="19"/>
                <w:rFonts w:cs="B Lotus" w:hAnsi="Times New Roman" w:ascii="Times New Roman"/>
              </w:rPr>
              <w:t>نرخ (تومان/دلار)</w:t>
            </w:r>
          </w:p>
        </w:tc>
        <w:tc>
          <w:tcPr>
            <w:tcW w:type="dxa" w:w="2267"/>
            <w:vAlign w:val="center"/>
            <w:shd w:val="clear" w:color="auto" w:fill="EEF4F7"/>
            <w:tcMar>
              <w:top w:w="80" w:type="dxa"/>
              <w:left w:w="80" w:type="dxa"/>
              <w:bottom w:w="80" w:type="dxa"/>
              <w:right w:w="80" w:type="dxa"/>
            </w:tcMar>
          </w:tcPr>
          <w:p>
            <w:pPr>
              <w:bidi w:val="1"/>
              <w:jc w:val="center"/>
            </w:pPr>
            <w:r>
              <w:rPr>
                <w:b/>
                <w:sz w:val="19"/>
                <w:rFonts w:cs="B Lotus" w:hAnsi="Times New Roman" w:ascii="Times New Roman"/>
              </w:rPr>
              <w:t>ماهیت و تاریخ</w:t>
            </w:r>
          </w:p>
        </w:tc>
        <w:tc>
          <w:tcPr>
            <w:tcW w:type="dxa" w:w="2267"/>
            <w:vAlign w:val="center"/>
            <w:shd w:val="clear" w:color="auto" w:fill="EEF4F7"/>
            <w:tcMar>
              <w:top w:w="80" w:type="dxa"/>
              <w:left w:w="80" w:type="dxa"/>
              <w:bottom w:w="80" w:type="dxa"/>
              <w:right w:w="80" w:type="dxa"/>
            </w:tcMar>
          </w:tcPr>
          <w:p>
            <w:pPr>
              <w:bidi w:val="1"/>
              <w:jc w:val="center"/>
            </w:pPr>
            <w:r>
              <w:rPr>
                <w:b/>
                <w:sz w:val="19"/>
                <w:rFonts w:cs="B Lotus" w:hAnsi="Times New Roman" w:ascii="Times New Roman"/>
              </w:rPr>
              <w:t>کاربرد در مقاله</w:t>
            </w:r>
          </w:p>
        </w:tc>
      </w:tr>
      <w:tr>
        <w:trPr/>
        <w:tc>
          <w:tcPr>
            <w:tcW w:type="dxa" w:w="2267"/>
            <w:vAlign w:val="center"/>
            <w:tcMar>
              <w:top w:w="80" w:type="dxa"/>
              <w:left w:w="80" w:type="dxa"/>
              <w:bottom w:w="80" w:type="dxa"/>
              <w:right w:w="80" w:type="dxa"/>
            </w:tcMar>
          </w:tcPr>
          <w:p>
            <w:pPr>
              <w:bidi w:val="1"/>
              <w:jc w:val="center"/>
            </w:pPr>
            <w:r>
              <w:rPr>
                <w:sz w:val="18"/>
                <w:rFonts w:cs="B Lotus" w:hAnsi="Times New Roman" w:ascii="Times New Roman"/>
              </w:rPr>
              <w:t>۱۳۷٬۴۷۳</w:t>
            </w:r>
          </w:p>
        </w:tc>
        <w:tc>
          <w:tcPr>
            <w:tcW w:type="dxa" w:w="2267"/>
            <w:vAlign w:val="center"/>
            <w:tcMar>
              <w:top w:w="80" w:type="dxa"/>
              <w:left w:w="80" w:type="dxa"/>
              <w:bottom w:w="80" w:type="dxa"/>
              <w:right w:w="80" w:type="dxa"/>
            </w:tcMar>
          </w:tcPr>
          <w:p>
            <w:pPr>
              <w:bidi w:val="1"/>
              <w:jc w:val="center"/>
            </w:pPr>
            <w:r>
              <w:rPr>
                <w:sz w:val="18"/>
                <w:rFonts w:cs="B Lotus" w:hAnsi="Times New Roman" w:ascii="Times New Roman"/>
              </w:rPr>
              <w:t>حواله‌ی مرکز مبادله، فروردین ۱۴۰۵</w:t>
            </w:r>
          </w:p>
        </w:tc>
        <w:tc>
          <w:tcPr>
            <w:tcW w:type="dxa" w:w="2267"/>
            <w:vAlign w:val="center"/>
            <w:tcMar>
              <w:top w:w="80" w:type="dxa"/>
              <w:left w:w="80" w:type="dxa"/>
              <w:bottom w:w="80" w:type="dxa"/>
              <w:right w:w="80" w:type="dxa"/>
            </w:tcMar>
          </w:tcPr>
          <w:p>
            <w:pPr>
              <w:bidi w:val="1"/>
              <w:jc w:val="center"/>
            </w:pPr>
            <w:r>
              <w:rPr>
                <w:sz w:val="18"/>
                <w:rFonts w:cs="B Lotus" w:hAnsi="Times New Roman" w:ascii="Times New Roman"/>
              </w:rPr>
              <w:t>کران پایین تسعیر ارزی</w:t>
            </w:r>
          </w:p>
        </w:tc>
      </w:tr>
      <w:tr>
        <w:trPr/>
        <w:tc>
          <w:tcPr>
            <w:tcW w:type="dxa" w:w="2267"/>
            <w:vAlign w:val="center"/>
            <w:tcMar>
              <w:top w:w="80" w:type="dxa"/>
              <w:left w:w="80" w:type="dxa"/>
              <w:bottom w:w="80" w:type="dxa"/>
              <w:right w:w="80" w:type="dxa"/>
            </w:tcMar>
          </w:tcPr>
          <w:p>
            <w:pPr>
              <w:bidi w:val="1"/>
              <w:jc w:val="center"/>
            </w:pPr>
            <w:r>
              <w:rPr>
                <w:b/>
                <w:sz w:val="18"/>
                <w:rFonts w:cs="B Lotus" w:hAnsi="Times New Roman" w:ascii="Times New Roman"/>
              </w:rPr>
              <w:t>۱۶۵٬۷۲۰</w:t>
            </w:r>
          </w:p>
        </w:tc>
        <w:tc>
          <w:tcPr>
            <w:tcW w:type="dxa" w:w="2267"/>
            <w:vAlign w:val="center"/>
            <w:tcMar>
              <w:top w:w="80" w:type="dxa"/>
              <w:left w:w="80" w:type="dxa"/>
              <w:bottom w:w="80" w:type="dxa"/>
              <w:right w:w="80" w:type="dxa"/>
            </w:tcMar>
          </w:tcPr>
          <w:p>
            <w:pPr>
              <w:bidi w:val="1"/>
              <w:jc w:val="center"/>
            </w:pPr>
            <w:r>
              <w:rPr>
                <w:b/>
                <w:sz w:val="18"/>
                <w:rFonts w:cs="B Lotus" w:hAnsi="Times New Roman" w:ascii="Times New Roman"/>
              </w:rPr>
              <w:t>دلار آزاد، ۸–۹ اسفند ۱۴۰۴ — آستانه‌ی جنگ</w:t>
            </w:r>
          </w:p>
        </w:tc>
        <w:tc>
          <w:tcPr>
            <w:tcW w:type="dxa" w:w="2267"/>
            <w:vAlign w:val="center"/>
            <w:tcMar>
              <w:top w:w="80" w:type="dxa"/>
              <w:left w:w="80" w:type="dxa"/>
              <w:bottom w:w="80" w:type="dxa"/>
              <w:right w:w="80" w:type="dxa"/>
            </w:tcMar>
          </w:tcPr>
          <w:p>
            <w:pPr>
              <w:bidi w:val="1"/>
              <w:jc w:val="center"/>
            </w:pPr>
            <w:r>
              <w:rPr>
                <w:b/>
                <w:sz w:val="18"/>
                <w:rFonts w:cs="B Lotus" w:hAnsi="Times New Roman" w:ascii="Times New Roman"/>
              </w:rPr>
              <w:t>نرخ پایه‌ی ارزش‌گذاری خسارت</w:t>
            </w:r>
          </w:p>
        </w:tc>
      </w:tr>
      <w:tr>
        <w:trPr/>
        <w:tc>
          <w:tcPr>
            <w:tcW w:type="dxa" w:w="2267"/>
            <w:vAlign w:val="center"/>
            <w:tcMar>
              <w:top w:w="80" w:type="dxa"/>
              <w:left w:w="80" w:type="dxa"/>
              <w:bottom w:w="80" w:type="dxa"/>
              <w:right w:w="80" w:type="dxa"/>
            </w:tcMar>
          </w:tcPr>
          <w:p>
            <w:pPr>
              <w:bidi w:val="1"/>
              <w:jc w:val="center"/>
            </w:pPr>
            <w:r>
              <w:rPr>
                <w:sz w:val="18"/>
                <w:rFonts w:cs="B Lotus" w:hAnsi="Times New Roman" w:ascii="Times New Roman"/>
              </w:rPr>
              <w:t>۱۸۰٬۰۰۰</w:t>
            </w:r>
          </w:p>
        </w:tc>
        <w:tc>
          <w:tcPr>
            <w:tcW w:type="dxa" w:w="2267"/>
            <w:vAlign w:val="center"/>
            <w:tcMar>
              <w:top w:w="80" w:type="dxa"/>
              <w:left w:w="80" w:type="dxa"/>
              <w:bottom w:w="80" w:type="dxa"/>
              <w:right w:w="80" w:type="dxa"/>
            </w:tcMar>
          </w:tcPr>
          <w:p>
            <w:pPr>
              <w:bidi w:val="1"/>
              <w:jc w:val="center"/>
            </w:pPr>
            <w:r>
              <w:rPr>
                <w:sz w:val="18"/>
                <w:rFonts w:cs="B Lotus" w:hAnsi="Times New Roman" w:ascii="Times New Roman"/>
              </w:rPr>
              <w:t>نرخ ضمنی نهادی (نسبت ریالی–ارزی)</w:t>
            </w:r>
          </w:p>
        </w:tc>
        <w:tc>
          <w:tcPr>
            <w:tcW w:type="dxa" w:w="2267"/>
            <w:vAlign w:val="center"/>
            <w:tcMar>
              <w:top w:w="80" w:type="dxa"/>
              <w:left w:w="80" w:type="dxa"/>
              <w:bottom w:w="80" w:type="dxa"/>
              <w:right w:w="80" w:type="dxa"/>
            </w:tcMar>
          </w:tcPr>
          <w:p>
            <w:pPr>
              <w:bidi w:val="1"/>
              <w:jc w:val="center"/>
            </w:pPr>
            <w:r>
              <w:rPr>
                <w:sz w:val="18"/>
                <w:rFonts w:cs="B Lotus" w:hAnsi="Times New Roman" w:ascii="Times New Roman"/>
              </w:rPr>
              <w:t>آزمون ناسازگاری اعلامی</w:t>
            </w:r>
          </w:p>
        </w:tc>
      </w:tr>
      <w:tr>
        <w:trPr/>
        <w:tc>
          <w:tcPr>
            <w:tcW w:type="dxa" w:w="2267"/>
            <w:vAlign w:val="center"/>
            <w:tcMar>
              <w:top w:w="80" w:type="dxa"/>
              <w:left w:w="80" w:type="dxa"/>
              <w:bottom w:w="80" w:type="dxa"/>
              <w:right w:w="80" w:type="dxa"/>
            </w:tcMar>
          </w:tcPr>
          <w:p>
            <w:pPr>
              <w:bidi w:val="1"/>
              <w:jc w:val="center"/>
            </w:pPr>
            <w:r>
              <w:rPr>
                <w:sz w:val="18"/>
                <w:rFonts w:cs="B Lotus" w:hAnsi="Times New Roman" w:ascii="Times New Roman"/>
              </w:rPr>
              <w:t>۲۳۶٬۰۹۰</w:t>
            </w:r>
          </w:p>
        </w:tc>
        <w:tc>
          <w:tcPr>
            <w:tcW w:type="dxa" w:w="2267"/>
            <w:vAlign w:val="center"/>
            <w:tcMar>
              <w:top w:w="80" w:type="dxa"/>
              <w:left w:w="80" w:type="dxa"/>
              <w:bottom w:w="80" w:type="dxa"/>
              <w:right w:w="80" w:type="dxa"/>
            </w:tcMar>
          </w:tcPr>
          <w:p>
            <w:pPr>
              <w:bidi w:val="1"/>
              <w:jc w:val="center"/>
            </w:pPr>
            <w:r>
              <w:rPr>
                <w:sz w:val="18"/>
                <w:rFonts w:cs="B Lotus" w:hAnsi="Times New Roman" w:ascii="Times New Roman"/>
              </w:rPr>
              <w:t>دلار آزاد، ۲۰ شهریور ۱۴۰۵</w:t>
            </w:r>
          </w:p>
        </w:tc>
        <w:tc>
          <w:tcPr>
            <w:tcW w:type="dxa" w:w="2267"/>
            <w:vAlign w:val="center"/>
            <w:tcMar>
              <w:top w:w="80" w:type="dxa"/>
              <w:left w:w="80" w:type="dxa"/>
              <w:bottom w:w="80" w:type="dxa"/>
              <w:right w:w="80" w:type="dxa"/>
            </w:tcMar>
          </w:tcPr>
          <w:p>
            <w:pPr>
              <w:bidi w:val="1"/>
              <w:jc w:val="center"/>
            </w:pPr>
            <w:r>
              <w:rPr>
                <w:sz w:val="18"/>
                <w:rFonts w:cs="B Lotus" w:hAnsi="Times New Roman" w:ascii="Times New Roman"/>
              </w:rPr>
              <w:t>کران بالای مشاهداتی</w:t>
            </w:r>
          </w:p>
        </w:tc>
      </w:tr>
    </w:tbl>
    <w:p>
      <w:r>
        <w:br/>
      </w:r>
    </w:p>
    <w:p>
      <w:pPr>
        <w:pStyle w:val="a0"/>
        <w:bidi w:val="1"/>
        <w:jc w:val="center"/>
        <w:spacing w:before="40" w:after="120" w:line="200" w:lineRule="auto"/>
      </w:pPr>
      <w:r>
        <w:rPr>
          <w:i w:val="0"/>
        </w:rPr>
        <w:t>مأخذ: مرکز مبادله ارز و طلای ایران (۱۴۰۵)؛ گزارش‌های بازار ارز (ایسنا ۱۴۰۵؛ شرق ۱۴۰۴؛ تجارت‌نیوز ۱۴۰۵؛ اقتصادآنلاین ۱۴۰۴)؛ محاسبه‌ی پژوهشگران بر پایه‌ی نسبت‌های ضمنی اسناد نهادی.</w:t>
      </w:r>
    </w:p>
    <w:p>
      <w:pPr>
        <w:pStyle w:val="a3"/>
        <w:bidi w:val="1"/>
        <w:jc w:val="both"/>
        <w:spacing w:before="200" w:after="100" w:line="259" w:lineRule="auto"/>
      </w:pPr>
      <w:r>
        <w:t>ب) ستون تصمیم: از سنجه به قاعده</w:t>
      </w:r>
    </w:p>
    <w:p>
      <w:pPr>
        <w:pStyle w:val="a"/>
        <w:bidi w:val="1"/>
        <w:jc w:val="both"/>
        <w:spacing w:before="60" w:after="60" w:line="259" w:lineRule="auto"/>
      </w:pPr>
      <w:r>
        <w:t xml:space="preserve">مسئله‌ی سیاست‌گذار، کمینه‌سازی «هزینه‌ی بازسازی و زیان تنزیلیافته‌ی باقی‌مانده» است تحت دو قید: بودجه‌ی ریالی و سهمیه‌ی ارزی؛ هدف، بازگشت به خدمت پیش از جنگ. قید ارزی ثابت نیست: دلار آزاد در خودِ جنگ افت کرد (۱۶۶ به ۱۴۶ هزار تومان) و سپس به ۲۳۶ هزار رسید. قاعده‌ی آزمون‌پذیر — با تعریف قیود، افق، نرخ تنزیل و داده‌ی لازم — تساوی </w:t>
      </w:r>
      <w:r>
        <w:rPr>
          <w:b/>
        </w:rPr>
        <w:t>هزینه‌ی نهایی به‌ازای هر واحد خدمت بازیابی‌شده</w:t>
      </w:r>
      <w:r>
        <w:t xml:space="preserve"> در میان دارایی‌ها است. پس «دلار بر مگاوات» تصویر عملیاتی همین قاعده است. اما رتبه‌بندی یکپارچه میان برق، گاز، پالایش و صنایع پایین‌دستی با یک تبدیل ساده معتبر نیست، چون این خدمات مخرج مشترک ندارند؛ پس رتبه‌بندی در چهار خانواده‌ی خدمت جداگانه انجام می‌شود و سازگاری میان‌خانواده‌ای فقط با یک تحلیل چندمعیاره‌ی وزن‌دار و اعلام‌شده به دست می‌آید. تسعیر همین «خدمت» دو لنگر بیرونی می‌خواهد: ارزش برق عرضه‌نشده در یک مطالعه‌ی بومی (احمدیان و عباس‌زاده، ۱۳۹۲) و برآوردهای مهندسی بین‌المللی (EIA؛ E3، ۲۰۲۶). این منطق همان نرخ سایه‌ی ارز در ادبیات ارزیابی پروژه است (لیتل و میرلیس، ۱۹۶۸) و راهنمای PDNA (۲۰۱۳) هم آن را دنبال می‌کند؛ جزئیات در پیوست.</w:t>
      </w:r>
    </w:p>
    <w:p>
      <w:pPr>
        <w:pStyle w:val="a"/>
        <w:bidi w:val="1"/>
        <w:jc w:val="both"/>
        <w:spacing w:before="60" w:after="60" w:line="259" w:lineRule="auto"/>
      </w:pPr>
      <w:r>
        <w:t>قاعده در اقتصاد تحریمی هم برقرار است، با یک تفاوت: قید ارزی، قید فیزیکی تأمین را تشدید می‌کند. با محدودیت دسترسی به پیمانکاران و تجهیزات EPC غربی (ریستاد، ۱۴۰۵)، کف هزینه‌ی اجرا بالا می‌رود؛ پس رتبه‌بندی باید به «قیمت مسیر تأمین ممکن» ببندد، نه برآورد بازار آزاد.</w:t>
      </w:r>
    </w:p>
    <w:p>
      <w:pPr>
        <w:pStyle w:val="a3"/>
        <w:bidi w:val="1"/>
        <w:jc w:val="both"/>
        <w:spacing w:before="200" w:after="100" w:line="259" w:lineRule="auto"/>
      </w:pPr>
      <w:r>
        <w:t>ج) یافته‌ی نخست: گُوِه‌ی ادعا–هزینه</w:t>
      </w:r>
    </w:p>
    <w:p>
      <w:pPr>
        <w:pStyle w:val="a"/>
        <w:bidi w:val="1"/>
        <w:jc w:val="both"/>
        <w:spacing w:before="60" w:after="60" w:line="259" w:lineRule="auto"/>
      </w:pPr>
      <w:r>
        <w:t xml:space="preserve">فرضیه‌ی آغازین ما این بود: نیاز بازسازی از خسارت اعلامی بزرگ‌تر است؛ داده‌ها آن را باطل کردند. در پرونده‌ی نخست، خسارت ۲۱۵ و زیان کارکردی ۲۵ همت کارشناسی و برنامه‌ی بازسازی ۷۴ همت اعلام شد؛ نسبت برنامه به مجموع این دو ‎۰/۳۱‎ است. در پرونده‌ی دوم، همین نسبت ۱۲۶ برابر می‌شود. همین‌جا نتیجه‌ی اصلی شکل گرفت: </w:t>
      </w:r>
      <w:r>
        <w:rPr>
          <w:b/>
        </w:rPr>
        <w:t>در دو پرونده‌ی بررسی‌شده و با تعاریف متفاوت، نسبت ثابتی میان خسارت اعلامی و برنامه‌ی بازسازی دیده نشد</w:t>
      </w:r>
      <w:r>
        <w:t>. ازاین‌رو هر ضریب سرانگشتی، خطایی میان یک‌سوم تا ده‌ها برابر تولید می‌کند؛ و زیان‌های غیرمستقیم دیرتر از خسارت فیزیکی آشکار می‌شوند (هالگت، ۲۰۰۸). همین جهت در مجمع عمومی شرکت (۱۱ مرداد ۱۴۰۵) تأیید شد: مدیرعامل ۲۱۵ هزار میلیارد تومان را «برآورد رسمی خسارت» خواند و گفت بازسازی با هزینه‌ای بسیار کمتر در جریان است. شاهد تکمیلی (مورد پانزدهم پیکره): برآورد اولیه‌ی رسانه‌ای همان مجتمع ۵ تا ۶ میلیارد دلار بود — همان گُوِه، در جهت معکوس.</w:t>
      </w:r>
    </w:p>
    <w:p>
      <w:pPr>
        <w:pStyle w:val="a2"/>
        <w:bidi w:val="1"/>
        <w:jc w:val="center"/>
        <w:spacing w:before="120" w:after="60" w:line="216" w:lineRule="auto"/>
      </w:pPr>
      <w:r>
        <w:t>شکل ۱. نردبان دامنه‌های خسارت انرژی جنگ: از یک دارایی تا کشور (با دو ستون مبنا و تاریخ)</w:t>
      </w:r>
    </w:p>
    <w:p>
      <w:pPr>
        <w:jc w:val="center"/>
        <w:bidi w:val="1"/>
      </w:pPr>
      <w:r>
        <w:drawing>
          <wp:inline xmlns:a="http://schemas.openxmlformats.org/drawingml/2006/main" xmlns:pic="http://schemas.openxmlformats.org/drawingml/2006/picture">
            <wp:extent cx="4320000" cy="1999371"/>
            <wp:docPr id="1" name="Picture 1"/>
            <wp:cNvGraphicFramePr>
              <a:graphicFrameLocks noChangeAspect="1"/>
            </wp:cNvGraphicFramePr>
            <a:graphic>
              <a:graphicData uri="http://schemas.openxmlformats.org/drawingml/2006/picture">
                <pic:pic>
                  <pic:nvPicPr>
                    <pic:cNvPr id="0" name="شکل-۱-نردبان-دامنه‌ها.png"/>
                    <pic:cNvPicPr/>
                  </pic:nvPicPr>
                  <pic:blipFill>
                    <a:blip r:embed="rId22"/>
                    <a:stretch>
                      <a:fillRect/>
                    </a:stretch>
                  </pic:blipFill>
                  <pic:spPr>
                    <a:xfrm>
                      <a:off x="0" y="0"/>
                      <a:ext cx="4320000" cy="1999371"/>
                    </a:xfrm>
                    <a:prstGeom prst="rect"/>
                  </pic:spPr>
                </pic:pic>
              </a:graphicData>
            </a:graphic>
          </wp:inline>
        </w:drawing>
      </w:r>
    </w:p>
    <w:p>
      <w:pPr>
        <w:pStyle w:val="a0"/>
        <w:bidi w:val="1"/>
        <w:jc w:val="center"/>
        <w:spacing w:before="40" w:after="120" w:line="200" w:lineRule="auto"/>
      </w:pPr>
      <w:r>
        <w:rPr>
          <w:i w:val="0"/>
        </w:rPr>
        <w:t>مأخذ: افشاهای شرکتی سامانه‌ی کدال (۱۴۰۵)؛ مصوبات مجامع عمومی؛ بیانیه‌های نهادی؛ برآوردهای ملی منتشرشده؛ ترتیب‌دهی و محاسبه از پژوهشگران.</w:t>
      </w:r>
    </w:p>
    <w:p>
      <w:pPr>
        <w:pStyle w:val="a"/>
        <w:bidi w:val="1"/>
        <w:jc w:val="both"/>
        <w:spacing w:before="60" w:after="60" w:line="259" w:lineRule="auto"/>
      </w:pPr>
      <w:r>
        <w:t>نردبان شکل ۱ هفت پله دارد — از خسارت دفتری یک مجتمع (کمتر از یک‌دهم همت) تا برآورد ملی (۲۷۰ میلیارد دلار)؛ فاصله‌ای بیش از ۵۰ هزار برابر. این را می‌توان «خطای اندازه‌گیری» خواند؛ جدول ۲ نشان می‌دهد این خوانش نادرست است.</w:t>
      </w:r>
    </w:p>
    <w:p>
      <w:pPr>
        <w:pStyle w:val="a2"/>
        <w:bidi w:val="1"/>
        <w:jc w:val="center"/>
        <w:spacing w:before="120" w:after="60" w:line="216" w:lineRule="auto"/>
      </w:pPr>
      <w:r>
        <w:t>جدول ۲. تجزیه‌ی ناسازگاری ارقام خسارت بر حسب منبع (دامنه، واحد/تعریف، زمان، برآوردگر)</w:t>
      </w:r>
    </w:p>
    <w:tbl>
      <w:tblPr>
        <w:tblStyle w:val="TableGrid"/>
        <w:tblW w:type="auto" w:w="0"/>
        <w:jc w:val="center"/>
        <w:tblLayout w:type="autofit"/>
        <w:tblLook w:firstColumn="1" w:firstRow="1" w:lastColumn="0" w:lastRow="0" w:noHBand="0" w:noVBand="1" w:val="04A0"/>
        <w:bidiVisual/>
      </w:tblPr>
      <w:tblGrid>
        <w:gridCol w:w="1700"/>
        <w:gridCol w:w="1700"/>
        <w:gridCol w:w="1700"/>
        <w:gridCol w:w="1700"/>
      </w:tblGrid>
      <w:tr>
        <w:trPr/>
        <w:tc>
          <w:tcPr>
            <w:tcW w:type="dxa" w:w="1700"/>
            <w:vAlign w:val="center"/>
            <w:shd w:val="clear" w:color="auto" w:fill="EEF4F7"/>
            <w:tcMar>
              <w:top w:w="80" w:type="dxa"/>
              <w:left w:w="80" w:type="dxa"/>
              <w:bottom w:w="80" w:type="dxa"/>
              <w:right w:w="80" w:type="dxa"/>
            </w:tcMar>
          </w:tcPr>
          <w:p>
            <w:pPr>
              <w:bidi w:val="1"/>
              <w:jc w:val="center"/>
            </w:pPr>
            <w:r>
              <w:rPr>
                <w:b/>
                <w:sz w:val="19"/>
                <w:rFonts w:cs="B Lotus" w:hAnsi="Times New Roman" w:ascii="Times New Roman"/>
              </w:rPr>
              <w:t>منبع ناسازگاری</w:t>
            </w:r>
          </w:p>
        </w:tc>
        <w:tc>
          <w:tcPr>
            <w:tcW w:type="dxa" w:w="1700"/>
            <w:vAlign w:val="center"/>
            <w:shd w:val="clear" w:color="auto" w:fill="EEF4F7"/>
            <w:tcMar>
              <w:top w:w="80" w:type="dxa"/>
              <w:left w:w="80" w:type="dxa"/>
              <w:bottom w:w="80" w:type="dxa"/>
              <w:right w:w="80" w:type="dxa"/>
            </w:tcMar>
          </w:tcPr>
          <w:p>
            <w:pPr>
              <w:bidi w:val="1"/>
              <w:jc w:val="center"/>
            </w:pPr>
            <w:r>
              <w:rPr>
                <w:b/>
                <w:sz w:val="19"/>
                <w:rFonts w:cs="B Lotus" w:hAnsi="Times New Roman" w:ascii="Times New Roman"/>
              </w:rPr>
              <w:t>موارد</w:t>
            </w:r>
          </w:p>
        </w:tc>
        <w:tc>
          <w:tcPr>
            <w:tcW w:type="dxa" w:w="1700"/>
            <w:vAlign w:val="center"/>
            <w:shd w:val="clear" w:color="auto" w:fill="EEF4F7"/>
            <w:tcMar>
              <w:top w:w="80" w:type="dxa"/>
              <w:left w:w="80" w:type="dxa"/>
              <w:bottom w:w="80" w:type="dxa"/>
              <w:right w:w="80" w:type="dxa"/>
            </w:tcMar>
          </w:tcPr>
          <w:p>
            <w:pPr>
              <w:bidi w:val="1"/>
              <w:jc w:val="center"/>
            </w:pPr>
            <w:r>
              <w:rPr>
                <w:b/>
                <w:sz w:val="19"/>
                <w:rFonts w:cs="B Lotus" w:hAnsi="Times New Roman" w:ascii="Times New Roman"/>
              </w:rPr>
              <w:t>سهم</w:t>
            </w:r>
          </w:p>
        </w:tc>
        <w:tc>
          <w:tcPr>
            <w:tcW w:type="dxa" w:w="1700"/>
            <w:vAlign w:val="center"/>
            <w:shd w:val="clear" w:color="auto" w:fill="EEF4F7"/>
            <w:tcMar>
              <w:top w:w="80" w:type="dxa"/>
              <w:left w:w="80" w:type="dxa"/>
              <w:bottom w:w="80" w:type="dxa"/>
              <w:right w:w="80" w:type="dxa"/>
            </w:tcMar>
          </w:tcPr>
          <w:p>
            <w:pPr>
              <w:bidi w:val="1"/>
              <w:jc w:val="center"/>
            </w:pPr>
            <w:r>
              <w:rPr>
                <w:b/>
                <w:sz w:val="19"/>
                <w:rFonts w:cs="B Lotus" w:hAnsi="Times New Roman" w:ascii="Times New Roman"/>
              </w:rPr>
              <w:t>نمونه</w:t>
            </w:r>
          </w:p>
        </w:tc>
      </w:tr>
      <w:tr>
        <w:trPr/>
        <w:tc>
          <w:tcPr>
            <w:tcW w:type="dxa" w:w="1700"/>
            <w:vAlign w:val="center"/>
            <w:tcMar>
              <w:top w:w="80" w:type="dxa"/>
              <w:left w:w="80" w:type="dxa"/>
              <w:bottom w:w="80" w:type="dxa"/>
              <w:right w:w="80" w:type="dxa"/>
            </w:tcMar>
          </w:tcPr>
          <w:p>
            <w:pPr>
              <w:bidi w:val="1"/>
              <w:jc w:val="center"/>
            </w:pPr>
            <w:r>
              <w:rPr>
                <w:sz w:val="18"/>
                <w:rFonts w:cs="B Lotus" w:hAnsi="Times New Roman" w:ascii="Times New Roman"/>
              </w:rPr>
              <w:t>دامنه (بزرگی و سطح قلم)</w:t>
            </w:r>
          </w:p>
        </w:tc>
        <w:tc>
          <w:tcPr>
            <w:tcW w:type="dxa" w:w="1700"/>
            <w:vAlign w:val="center"/>
            <w:tcMar>
              <w:top w:w="80" w:type="dxa"/>
              <w:left w:w="80" w:type="dxa"/>
              <w:bottom w:w="80" w:type="dxa"/>
              <w:right w:w="80" w:type="dxa"/>
            </w:tcMar>
          </w:tcPr>
          <w:p>
            <w:pPr>
              <w:bidi w:val="1"/>
              <w:jc w:val="center"/>
            </w:pPr>
            <w:r>
              <w:rPr>
                <w:sz w:val="18"/>
                <w:rFonts w:cs="B Lotus" w:hAnsi="Times New Roman" w:ascii="Times New Roman"/>
              </w:rPr>
              <w:t>۴</w:t>
            </w:r>
          </w:p>
        </w:tc>
        <w:tc>
          <w:tcPr>
            <w:tcW w:type="dxa" w:w="1700"/>
            <w:vAlign w:val="center"/>
            <w:tcMar>
              <w:top w:w="80" w:type="dxa"/>
              <w:left w:w="80" w:type="dxa"/>
              <w:bottom w:w="80" w:type="dxa"/>
              <w:right w:w="80" w:type="dxa"/>
            </w:tcMar>
          </w:tcPr>
          <w:p>
            <w:pPr>
              <w:bidi w:val="1"/>
              <w:jc w:val="center"/>
            </w:pPr>
            <w:r>
              <w:rPr>
                <w:sz w:val="18"/>
                <w:rFonts w:cs="B Lotus" w:hAnsi="Times New Roman" w:ascii="Times New Roman"/>
              </w:rPr>
              <w:t>۴ از ۱۴</w:t>
            </w:r>
          </w:p>
        </w:tc>
        <w:tc>
          <w:tcPr>
            <w:tcW w:type="dxa" w:w="1700"/>
            <w:vAlign w:val="center"/>
            <w:tcMar>
              <w:top w:w="80" w:type="dxa"/>
              <w:left w:w="80" w:type="dxa"/>
              <w:bottom w:w="80" w:type="dxa"/>
              <w:right w:w="80" w:type="dxa"/>
            </w:tcMar>
          </w:tcPr>
          <w:p>
            <w:pPr>
              <w:bidi w:val="1"/>
              <w:jc w:val="center"/>
            </w:pPr>
            <w:r>
              <w:rPr>
                <w:sz w:val="18"/>
                <w:rFonts w:cs="B Lotus" w:hAnsi="Times New Roman" w:ascii="Times New Roman"/>
              </w:rPr>
              <w:t>شرکت در برابر استان؛ جمع‌زدن مضاعف شرکت‌های ملی در تراز استانی؛ دو جنگ در یک پرونده</w:t>
            </w:r>
          </w:p>
        </w:tc>
      </w:tr>
      <w:tr>
        <w:trPr/>
        <w:tc>
          <w:tcPr>
            <w:tcW w:type="dxa" w:w="1700"/>
            <w:vAlign w:val="center"/>
            <w:tcMar>
              <w:top w:w="80" w:type="dxa"/>
              <w:left w:w="80" w:type="dxa"/>
              <w:bottom w:w="80" w:type="dxa"/>
              <w:right w:w="80" w:type="dxa"/>
            </w:tcMar>
          </w:tcPr>
          <w:p>
            <w:pPr>
              <w:bidi w:val="1"/>
              <w:jc w:val="center"/>
            </w:pPr>
            <w:r>
              <w:rPr>
                <w:sz w:val="18"/>
                <w:rFonts w:cs="B Lotus" w:hAnsi="Times New Roman" w:ascii="Times New Roman"/>
              </w:rPr>
              <w:t>واحد و تعریف</w:t>
            </w:r>
          </w:p>
        </w:tc>
        <w:tc>
          <w:tcPr>
            <w:tcW w:type="dxa" w:w="1700"/>
            <w:vAlign w:val="center"/>
            <w:tcMar>
              <w:top w:w="80" w:type="dxa"/>
              <w:left w:w="80" w:type="dxa"/>
              <w:bottom w:w="80" w:type="dxa"/>
              <w:right w:w="80" w:type="dxa"/>
            </w:tcMar>
          </w:tcPr>
          <w:p>
            <w:pPr>
              <w:bidi w:val="1"/>
              <w:jc w:val="center"/>
            </w:pPr>
            <w:r>
              <w:rPr>
                <w:sz w:val="18"/>
                <w:rFonts w:cs="B Lotus" w:hAnsi="Times New Roman" w:ascii="Times New Roman"/>
              </w:rPr>
              <w:t>۴</w:t>
            </w:r>
          </w:p>
        </w:tc>
        <w:tc>
          <w:tcPr>
            <w:tcW w:type="dxa" w:w="1700"/>
            <w:vAlign w:val="center"/>
            <w:tcMar>
              <w:top w:w="80" w:type="dxa"/>
              <w:left w:w="80" w:type="dxa"/>
              <w:bottom w:w="80" w:type="dxa"/>
              <w:right w:w="80" w:type="dxa"/>
            </w:tcMar>
          </w:tcPr>
          <w:p>
            <w:pPr>
              <w:bidi w:val="1"/>
              <w:jc w:val="center"/>
            </w:pPr>
            <w:r>
              <w:rPr>
                <w:sz w:val="18"/>
                <w:rFonts w:cs="B Lotus" w:hAnsi="Times New Roman" w:ascii="Times New Roman"/>
              </w:rPr>
              <w:t>۴ از ۱۴</w:t>
            </w:r>
          </w:p>
        </w:tc>
        <w:tc>
          <w:tcPr>
            <w:tcW w:type="dxa" w:w="1700"/>
            <w:vAlign w:val="center"/>
            <w:tcMar>
              <w:top w:w="80" w:type="dxa"/>
              <w:left w:w="80" w:type="dxa"/>
              <w:bottom w:w="80" w:type="dxa"/>
              <w:right w:w="80" w:type="dxa"/>
            </w:tcMar>
          </w:tcPr>
          <w:p>
            <w:pPr>
              <w:bidi w:val="1"/>
              <w:jc w:val="center"/>
            </w:pPr>
            <w:r>
              <w:rPr>
                <w:sz w:val="18"/>
                <w:rFonts w:cs="B Lotus" w:hAnsi="Times New Roman" w:ascii="Times New Roman"/>
              </w:rPr>
              <w:t>«اصابت» در برابر «نقطه»؛ مخرج مبهم (۶٬۴۷۳ در برابر ~۲٬۰۰۰)؛ برچسب ظرفیت</w:t>
            </w:r>
          </w:p>
        </w:tc>
      </w:tr>
      <w:tr>
        <w:trPr/>
        <w:tc>
          <w:tcPr>
            <w:tcW w:type="dxa" w:w="1700"/>
            <w:vAlign w:val="center"/>
            <w:tcMar>
              <w:top w:w="80" w:type="dxa"/>
              <w:left w:w="80" w:type="dxa"/>
              <w:bottom w:w="80" w:type="dxa"/>
              <w:right w:w="80" w:type="dxa"/>
            </w:tcMar>
          </w:tcPr>
          <w:p>
            <w:pPr>
              <w:bidi w:val="1"/>
              <w:jc w:val="center"/>
            </w:pPr>
            <w:r>
              <w:rPr>
                <w:sz w:val="18"/>
                <w:rFonts w:cs="B Lotus" w:hAnsi="Times New Roman" w:ascii="Times New Roman"/>
              </w:rPr>
              <w:t>زمان</w:t>
            </w:r>
          </w:p>
        </w:tc>
        <w:tc>
          <w:tcPr>
            <w:tcW w:type="dxa" w:w="1700"/>
            <w:vAlign w:val="center"/>
            <w:tcMar>
              <w:top w:w="80" w:type="dxa"/>
              <w:left w:w="80" w:type="dxa"/>
              <w:bottom w:w="80" w:type="dxa"/>
              <w:right w:w="80" w:type="dxa"/>
            </w:tcMar>
          </w:tcPr>
          <w:p>
            <w:pPr>
              <w:bidi w:val="1"/>
              <w:jc w:val="center"/>
            </w:pPr>
            <w:r>
              <w:rPr>
                <w:sz w:val="18"/>
                <w:rFonts w:cs="B Lotus" w:hAnsi="Times New Roman" w:ascii="Times New Roman"/>
              </w:rPr>
              <w:t>۳</w:t>
            </w:r>
          </w:p>
        </w:tc>
        <w:tc>
          <w:tcPr>
            <w:tcW w:type="dxa" w:w="1700"/>
            <w:vAlign w:val="center"/>
            <w:tcMar>
              <w:top w:w="80" w:type="dxa"/>
              <w:left w:w="80" w:type="dxa"/>
              <w:bottom w:w="80" w:type="dxa"/>
              <w:right w:w="80" w:type="dxa"/>
            </w:tcMar>
          </w:tcPr>
          <w:p>
            <w:pPr>
              <w:bidi w:val="1"/>
              <w:jc w:val="center"/>
            </w:pPr>
            <w:r>
              <w:rPr>
                <w:sz w:val="18"/>
                <w:rFonts w:cs="B Lotus" w:hAnsi="Times New Roman" w:ascii="Times New Roman"/>
              </w:rPr>
              <w:t>۳ از ۱۴</w:t>
            </w:r>
          </w:p>
        </w:tc>
        <w:tc>
          <w:tcPr>
            <w:tcW w:type="dxa" w:w="1700"/>
            <w:vAlign w:val="center"/>
            <w:tcMar>
              <w:top w:w="80" w:type="dxa"/>
              <w:left w:w="80" w:type="dxa"/>
              <w:bottom w:w="80" w:type="dxa"/>
              <w:right w:w="80" w:type="dxa"/>
            </w:tcMar>
          </w:tcPr>
          <w:p>
            <w:pPr>
              <w:bidi w:val="1"/>
              <w:jc w:val="center"/>
            </w:pPr>
            <w:r>
              <w:rPr>
                <w:sz w:val="18"/>
                <w:rFonts w:cs="B Lotus" w:hAnsi="Times New Roman" w:ascii="Times New Roman"/>
              </w:rPr>
              <w:t>سه بازآوری خسارت شبکه (‎۵۸/۵‎ → ۶۰ → ۶۸ همت)؛ نسخه‌بندی برآورد ریستاد در سه هفته (۲۵ به ۳۴–۵۸ میلیارد دلار)</w:t>
            </w:r>
          </w:p>
        </w:tc>
      </w:tr>
      <w:tr>
        <w:trPr/>
        <w:tc>
          <w:tcPr>
            <w:tcW w:type="dxa" w:w="1700"/>
            <w:vAlign w:val="center"/>
            <w:tcMar>
              <w:top w:w="80" w:type="dxa"/>
              <w:left w:w="80" w:type="dxa"/>
              <w:bottom w:w="80" w:type="dxa"/>
              <w:right w:w="80" w:type="dxa"/>
            </w:tcMar>
          </w:tcPr>
          <w:p>
            <w:pPr>
              <w:bidi w:val="1"/>
              <w:jc w:val="center"/>
            </w:pPr>
            <w:r>
              <w:rPr>
                <w:sz w:val="18"/>
                <w:rFonts w:cs="B Lotus" w:hAnsi="Times New Roman" w:ascii="Times New Roman"/>
              </w:rPr>
              <w:t>برآوردگر و منبع</w:t>
            </w:r>
          </w:p>
        </w:tc>
        <w:tc>
          <w:tcPr>
            <w:tcW w:type="dxa" w:w="1700"/>
            <w:vAlign w:val="center"/>
            <w:tcMar>
              <w:top w:w="80" w:type="dxa"/>
              <w:left w:w="80" w:type="dxa"/>
              <w:bottom w:w="80" w:type="dxa"/>
              <w:right w:w="80" w:type="dxa"/>
            </w:tcMar>
          </w:tcPr>
          <w:p>
            <w:pPr>
              <w:bidi w:val="1"/>
              <w:jc w:val="center"/>
            </w:pPr>
            <w:r>
              <w:rPr>
                <w:sz w:val="18"/>
                <w:rFonts w:cs="B Lotus" w:hAnsi="Times New Roman" w:ascii="Times New Roman"/>
              </w:rPr>
              <w:t>۳</w:t>
            </w:r>
          </w:p>
        </w:tc>
        <w:tc>
          <w:tcPr>
            <w:tcW w:type="dxa" w:w="1700"/>
            <w:vAlign w:val="center"/>
            <w:tcMar>
              <w:top w:w="80" w:type="dxa"/>
              <w:left w:w="80" w:type="dxa"/>
              <w:bottom w:w="80" w:type="dxa"/>
              <w:right w:w="80" w:type="dxa"/>
            </w:tcMar>
          </w:tcPr>
          <w:p>
            <w:pPr>
              <w:bidi w:val="1"/>
              <w:jc w:val="center"/>
            </w:pPr>
            <w:r>
              <w:rPr>
                <w:sz w:val="18"/>
                <w:rFonts w:cs="B Lotus" w:hAnsi="Times New Roman" w:ascii="Times New Roman"/>
              </w:rPr>
              <w:t>۳ از ۱۴</w:t>
            </w:r>
          </w:p>
        </w:tc>
        <w:tc>
          <w:tcPr>
            <w:tcW w:type="dxa" w:w="1700"/>
            <w:vAlign w:val="center"/>
            <w:tcMar>
              <w:top w:w="80" w:type="dxa"/>
              <w:left w:w="80" w:type="dxa"/>
              <w:bottom w:w="80" w:type="dxa"/>
              <w:right w:w="80" w:type="dxa"/>
            </w:tcMar>
          </w:tcPr>
          <w:p>
            <w:pPr>
              <w:bidi w:val="1"/>
              <w:jc w:val="center"/>
            </w:pPr>
            <w:r>
              <w:rPr>
                <w:sz w:val="18"/>
                <w:rFonts w:cs="B Lotus" w:hAnsi="Times New Roman" w:ascii="Times New Roman"/>
              </w:rPr>
              <w:t>منبع خبری در برابر سند فنی؛ دو روایت از شمار واحدهای صنعتی آسیب‌دیده در یک ماه (۳٬۰۰۴ در برابر ۳٬۴۰۰)</w:t>
            </w:r>
          </w:p>
        </w:tc>
      </w:tr>
    </w:tbl>
    <w:p>
      <w:r>
        <w:br/>
      </w:r>
    </w:p>
    <w:p>
      <w:pPr>
        <w:pStyle w:val="a0"/>
        <w:bidi w:val="1"/>
        <w:jc w:val="center"/>
        <w:spacing w:before="40" w:after="120" w:line="200" w:lineRule="auto"/>
      </w:pPr>
      <w:r>
        <w:rPr>
          <w:i w:val="0"/>
        </w:rPr>
        <w:t>مأخذ: محاسبه‌ی پژوهشگران بر پایه‌ی ناسازگاری‌های مستند؛ برگه‌ی کامل C1 تا C14 در پیوست ۴.</w:t>
      </w:r>
    </w:p>
    <w:p>
      <w:pPr>
        <w:pStyle w:val="a"/>
        <w:bidi w:val="1"/>
        <w:jc w:val="both"/>
        <w:spacing w:before="60" w:after="60" w:line="259" w:lineRule="auto"/>
      </w:pPr>
      <w:r>
        <w:t>در این پیکره، ۱۱ مورد از ۱۴ ناسازگاری (با ابزار ‎۱/۰‎؛ ۱۲ از ۱۴ با ابزار تصریح‌شده) با تفاوت دامنه، تعریف و زمان توضیح داده می‌شود؛ توصیفی از پیکره، نه برآوردی از کل نظام گزارش‌دهی؛ اعتبارسنجی بیرونی، یک پرونده‌ی بین‌المللی است. آن‌ها با استاندارد گزارش‌دهی رفع می‌شود و باقی را پایش تدریجی می‌کاهد. سقف این پیکره سانسور راست است: پنجره با ۲۱ شهریور بسته شد و به‌روزرسانی‌ها ادامه دارد (پیوست، محدودیت ۶).</w:t>
      </w:r>
    </w:p>
    <w:p>
      <w:pPr>
        <w:pStyle w:val="a"/>
        <w:bidi w:val="1"/>
        <w:jc w:val="both"/>
        <w:spacing w:before="60" w:after="60" w:line="259" w:lineRule="auto"/>
      </w:pPr>
      <w:r>
        <w:t>روش پنهان نمی‌ماند: کدگذاری با کدگذار دوم مستقل آزمون شد؛ کاپا ‎۰/۴۲‎ با ابزار اصلی و ‎۰/۸۱‎ با نسخه‌ی تصریح‌شده؛ برگه‌ی مورد‌به‌مورد در پیوست. یک چرخه را هم صریح می‌گوییم: پدیده‌ی مورد سنجش و منبع داده از یک جنس‌اند؛ خنثی‌سازی، مقایسه‌ی متقاطع سه‌گونه منبع است (پیوست، بخش ۵).</w:t>
      </w:r>
    </w:p>
    <w:p>
      <w:pPr>
        <w:pStyle w:val="a3"/>
        <w:bidi w:val="1"/>
        <w:jc w:val="both"/>
        <w:spacing w:before="200" w:after="100" w:line="259" w:lineRule="auto"/>
      </w:pPr>
      <w:r>
        <w:t>د) یافته‌ی دوم: معیار، دامنه، افق</w:t>
      </w:r>
    </w:p>
    <w:p>
      <w:pPr>
        <w:pStyle w:val="a"/>
        <w:bidi w:val="1"/>
        <w:jc w:val="both"/>
        <w:spacing w:before="60" w:after="60" w:line="259" w:lineRule="auto"/>
      </w:pPr>
      <w:r>
        <w:t xml:space="preserve">در افشای کدال یک ناشر انرژی، سه عدد درست کنار هم نشسته‌اند: ارزش دفتری چهار واحد آسیب‌دیده ۴٬۶۵۰٬۶۱۸ میلیون ریال؛ خسارت اعلامی ۸۷۱٬۰۳۸ میلیون ریال (‎۱۸/۷‎٪)؛ و برنامه‌ی بازسازی ۱۱۰٬۰۰۰٬۰۰۰ میلیون ریال به‌علاوه‌ی ۶۵ میلیون یورو (کدال، ۱۴۰۵b؛ اخبار پتروشیمی و بورس‌پرس، ۱۴۰۵). </w:t>
      </w:r>
      <w:r>
        <w:rPr>
          <w:b/>
        </w:rPr>
        <w:t>صورت و مخرج هر نسبت، صریح:</w:t>
      </w:r>
      <w:r>
        <w:t xml:space="preserve"> نسبتِ </w:t>
      </w:r>
      <w:r>
        <w:rPr>
          <w:b/>
        </w:rPr>
        <w:t>جزء ریالی</w:t>
      </w:r>
      <w:r>
        <w:t xml:space="preserve"> برنامه (۱۱ همت) به ارزش دفتری ‎۲۳/۶‎ برابر و به خسارت اعلامی ۱۲۶ برابر است؛ با افزودن جزء ارزی، </w:t>
      </w:r>
      <w:r>
        <w:rPr>
          <w:b/>
        </w:rPr>
        <w:t>کل برنامه</w:t>
      </w:r>
      <w:r>
        <w:t xml:space="preserve"> (‎۲۳/۴‎ همت) همین دو نسبت را به ‎۵۰/۴‎ و ۲۶۹ برابر می‌رساند (جدول ۳). همین تفاوت، مصداق کوچک تز مقاله است: برنامه‌ی بازسازی، بسته به جزءِ صورت کسر، دو عدد متفاوت می‌سازد. </w:t>
      </w:r>
      <w:r>
        <w:rPr>
          <w:b/>
        </w:rPr>
        <w:t>اعلام دامنه:</w:t>
      </w:r>
      <w:r>
        <w:t xml:space="preserve"> مخرج، خسارت چهار واحد و صورت، بازسازی کل مجتمع است؛ پس این نسبت‌ها ضریب رفتاری نیستند؛ تنها فاصله‌ی دو میدان ارزش‌گذاری را نشان می‌دهند.</w:t>
      </w:r>
    </w:p>
    <w:p>
      <w:pPr>
        <w:pStyle w:val="a"/>
        <w:bidi w:val="1"/>
        <w:jc w:val="both"/>
        <w:spacing w:before="60" w:after="60" w:line="259" w:lineRule="auto"/>
      </w:pPr>
      <w:r>
        <w:t xml:space="preserve">این فاصله سه سرچشمه دارد: </w:t>
      </w:r>
      <w:r>
        <w:rPr>
          <w:b/>
        </w:rPr>
        <w:t>معیار</w:t>
      </w:r>
      <w:r>
        <w:t xml:space="preserve"> — ارزش دفتری، بهای تاریخی است و در تورم ۶۵ درصدی مبنا نبوده؛ مبنای درست، هزینه‌ی جایگزینی استهلاک‌شده است؛ </w:t>
      </w:r>
      <w:r>
        <w:rPr>
          <w:b/>
        </w:rPr>
        <w:t>دامنه</w:t>
      </w:r>
      <w:r>
        <w:t xml:space="preserve"> — سرفصل‌های برنامه الزاماً خسارت نیستند (هزینه‌ی تأمین مالی در همان گزارش دارایی ثبت شده)؛ و </w:t>
      </w:r>
      <w:r>
        <w:rPr>
          <w:b/>
        </w:rPr>
        <w:t>افق</w:t>
      </w:r>
      <w:r>
        <w:t xml:space="preserve"> — بازگشت به ظرفیت اسمی برای بهار ۱۴۰۶، فراتر از ۴۱ روز جنگ.</w:t>
      </w:r>
    </w:p>
    <w:p>
      <w:pPr>
        <w:pStyle w:val="a2"/>
        <w:bidi w:val="1"/>
        <w:jc w:val="center"/>
        <w:spacing w:before="120" w:after="60" w:line="216" w:lineRule="auto"/>
      </w:pPr>
      <w:r>
        <w:t>جدول ۳. تحلیل حساسیت نسبت‌های کلیدی نسبت به نرخ ارز</w:t>
      </w:r>
    </w:p>
    <w:tbl>
      <w:tblPr>
        <w:tblStyle w:val="TableGrid"/>
        <w:tblW w:type="auto" w:w="0"/>
        <w:jc w:val="center"/>
        <w:tblLayout w:type="autofit"/>
        <w:tblLook w:firstColumn="1" w:firstRow="1" w:lastColumn="0" w:lastRow="0" w:noHBand="0" w:noVBand="1" w:val="04A0"/>
        <w:bidiVisual/>
      </w:tblPr>
      <w:tblGrid>
        <w:gridCol w:w="1360"/>
        <w:gridCol w:w="1360"/>
        <w:gridCol w:w="1360"/>
        <w:gridCol w:w="1360"/>
        <w:gridCol w:w="1360"/>
      </w:tblGrid>
      <w:tr>
        <w:trPr/>
        <w:tc>
          <w:tcPr>
            <w:tcW w:type="dxa" w:w="1360"/>
            <w:vAlign w:val="center"/>
            <w:shd w:val="clear" w:color="auto" w:fill="EEF4F7"/>
            <w:tcMar>
              <w:top w:w="80" w:type="dxa"/>
              <w:left w:w="80" w:type="dxa"/>
              <w:bottom w:w="80" w:type="dxa"/>
              <w:right w:w="80" w:type="dxa"/>
            </w:tcMar>
          </w:tcPr>
          <w:p>
            <w:pPr>
              <w:bidi w:val="1"/>
              <w:jc w:val="center"/>
            </w:pPr>
            <w:r>
              <w:rPr>
                <w:b/>
                <w:sz w:val="19"/>
                <w:rFonts w:cs="B Lotus" w:hAnsi="Times New Roman" w:ascii="Times New Roman"/>
              </w:rPr>
              <w:t>شاخص</w:t>
            </w:r>
          </w:p>
        </w:tc>
        <w:tc>
          <w:tcPr>
            <w:tcW w:type="dxa" w:w="1360"/>
            <w:vAlign w:val="center"/>
            <w:shd w:val="clear" w:color="auto" w:fill="EEF4F7"/>
            <w:tcMar>
              <w:top w:w="80" w:type="dxa"/>
              <w:left w:w="80" w:type="dxa"/>
              <w:bottom w:w="80" w:type="dxa"/>
              <w:right w:w="80" w:type="dxa"/>
            </w:tcMar>
          </w:tcPr>
          <w:p>
            <w:pPr>
              <w:bidi w:val="1"/>
              <w:jc w:val="center"/>
            </w:pPr>
            <w:r>
              <w:rPr>
                <w:b/>
                <w:sz w:val="19"/>
                <w:rFonts w:cs="B Lotus" w:hAnsi="Times New Roman" w:ascii="Times New Roman"/>
              </w:rPr>
              <w:t>کف (۱۳۷٬۴۷۳)</w:t>
            </w:r>
          </w:p>
        </w:tc>
        <w:tc>
          <w:tcPr>
            <w:tcW w:type="dxa" w:w="1360"/>
            <w:vAlign w:val="center"/>
            <w:shd w:val="clear" w:color="auto" w:fill="EEF4F7"/>
            <w:tcMar>
              <w:top w:w="80" w:type="dxa"/>
              <w:left w:w="80" w:type="dxa"/>
              <w:bottom w:w="80" w:type="dxa"/>
              <w:right w:w="80" w:type="dxa"/>
            </w:tcMar>
          </w:tcPr>
          <w:p>
            <w:pPr>
              <w:bidi w:val="1"/>
              <w:jc w:val="center"/>
            </w:pPr>
            <w:r>
              <w:rPr>
                <w:b/>
                <w:sz w:val="19"/>
                <w:rFonts w:cs="B Lotus" w:hAnsi="Times New Roman" w:ascii="Times New Roman"/>
              </w:rPr>
              <w:t>پایه (۱۶۵٬۷۲۰)</w:t>
            </w:r>
          </w:p>
        </w:tc>
        <w:tc>
          <w:tcPr>
            <w:tcW w:type="dxa" w:w="1360"/>
            <w:vAlign w:val="center"/>
            <w:shd w:val="clear" w:color="auto" w:fill="EEF4F7"/>
            <w:tcMar>
              <w:top w:w="80" w:type="dxa"/>
              <w:left w:w="80" w:type="dxa"/>
              <w:bottom w:w="80" w:type="dxa"/>
              <w:right w:w="80" w:type="dxa"/>
            </w:tcMar>
          </w:tcPr>
          <w:p>
            <w:pPr>
              <w:bidi w:val="1"/>
              <w:jc w:val="center"/>
            </w:pPr>
            <w:r>
              <w:rPr>
                <w:b/>
                <w:sz w:val="19"/>
                <w:rFonts w:cs="B Lotus" w:hAnsi="Times New Roman" w:ascii="Times New Roman"/>
              </w:rPr>
              <w:t>میانی (۱۸۰٬۰۰۰)</w:t>
            </w:r>
          </w:p>
        </w:tc>
        <w:tc>
          <w:tcPr>
            <w:tcW w:type="dxa" w:w="1360"/>
            <w:vAlign w:val="center"/>
            <w:shd w:val="clear" w:color="auto" w:fill="EEF4F7"/>
            <w:tcMar>
              <w:top w:w="80" w:type="dxa"/>
              <w:left w:w="80" w:type="dxa"/>
              <w:bottom w:w="80" w:type="dxa"/>
              <w:right w:w="80" w:type="dxa"/>
            </w:tcMar>
          </w:tcPr>
          <w:p>
            <w:pPr>
              <w:bidi w:val="1"/>
              <w:jc w:val="center"/>
            </w:pPr>
            <w:r>
              <w:rPr>
                <w:b/>
                <w:sz w:val="19"/>
                <w:rFonts w:cs="B Lotus" w:hAnsi="Times New Roman" w:ascii="Times New Roman"/>
              </w:rPr>
              <w:t>سقف (۲۳۶٬۰۹۰)</w:t>
            </w:r>
          </w:p>
        </w:tc>
      </w:tr>
      <w:tr>
        <w:trPr/>
        <w:tc>
          <w:tcPr>
            <w:tcW w:type="dxa" w:w="1360"/>
            <w:vAlign w:val="center"/>
            <w:tcMar>
              <w:top w:w="80" w:type="dxa"/>
              <w:left w:w="80" w:type="dxa"/>
              <w:bottom w:w="80" w:type="dxa"/>
              <w:right w:w="80" w:type="dxa"/>
            </w:tcMar>
          </w:tcPr>
          <w:p>
            <w:pPr>
              <w:bidi w:val="1"/>
              <w:jc w:val="center"/>
            </w:pPr>
            <w:r>
              <w:rPr>
                <w:sz w:val="18"/>
                <w:rFonts w:cs="B Lotus" w:hAnsi="Times New Roman" w:ascii="Times New Roman"/>
              </w:rPr>
              <w:t>نرخ یورو به‌کاررفته (تومان)</w:t>
            </w:r>
          </w:p>
        </w:tc>
        <w:tc>
          <w:tcPr>
            <w:tcW w:type="dxa" w:w="1360"/>
            <w:vAlign w:val="center"/>
            <w:tcMar>
              <w:top w:w="80" w:type="dxa"/>
              <w:left w:w="80" w:type="dxa"/>
              <w:bottom w:w="80" w:type="dxa"/>
              <w:right w:w="80" w:type="dxa"/>
            </w:tcMar>
          </w:tcPr>
          <w:p>
            <w:pPr>
              <w:bidi w:val="1"/>
              <w:jc w:val="center"/>
            </w:pPr>
            <w:r>
              <w:rPr>
                <w:sz w:val="18"/>
                <w:rFonts w:cs="B Lotus" w:hAnsi="Times New Roman" w:ascii="Times New Roman"/>
              </w:rPr>
              <w:t>۱۵۸٬۶۷۳</w:t>
            </w:r>
          </w:p>
        </w:tc>
        <w:tc>
          <w:tcPr>
            <w:tcW w:type="dxa" w:w="1360"/>
            <w:vAlign w:val="center"/>
            <w:tcMar>
              <w:top w:w="80" w:type="dxa"/>
              <w:left w:w="80" w:type="dxa"/>
              <w:bottom w:w="80" w:type="dxa"/>
              <w:right w:w="80" w:type="dxa"/>
            </w:tcMar>
          </w:tcPr>
          <w:p>
            <w:pPr>
              <w:bidi w:val="1"/>
              <w:jc w:val="center"/>
            </w:pPr>
            <w:r>
              <w:rPr>
                <w:sz w:val="18"/>
                <w:rFonts w:cs="B Lotus" w:hAnsi="Times New Roman" w:ascii="Times New Roman"/>
              </w:rPr>
              <w:t>۱۹۱٬۲۷۴</w:t>
            </w:r>
          </w:p>
        </w:tc>
        <w:tc>
          <w:tcPr>
            <w:tcW w:type="dxa" w:w="1360"/>
            <w:vAlign w:val="center"/>
            <w:tcMar>
              <w:top w:w="80" w:type="dxa"/>
              <w:left w:w="80" w:type="dxa"/>
              <w:bottom w:w="80" w:type="dxa"/>
              <w:right w:w="80" w:type="dxa"/>
            </w:tcMar>
          </w:tcPr>
          <w:p>
            <w:pPr>
              <w:bidi w:val="1"/>
              <w:jc w:val="center"/>
            </w:pPr>
            <w:r>
              <w:rPr>
                <w:sz w:val="18"/>
                <w:rFonts w:cs="B Lotus" w:hAnsi="Times New Roman" w:ascii="Times New Roman"/>
              </w:rPr>
              <w:t>۲۰۷٬۷۵۶</w:t>
            </w:r>
          </w:p>
        </w:tc>
        <w:tc>
          <w:tcPr>
            <w:tcW w:type="dxa" w:w="1360"/>
            <w:vAlign w:val="center"/>
            <w:tcMar>
              <w:top w:w="80" w:type="dxa"/>
              <w:left w:w="80" w:type="dxa"/>
              <w:bottom w:w="80" w:type="dxa"/>
              <w:right w:w="80" w:type="dxa"/>
            </w:tcMar>
          </w:tcPr>
          <w:p>
            <w:pPr>
              <w:bidi w:val="1"/>
              <w:jc w:val="center"/>
            </w:pPr>
            <w:r>
              <w:rPr>
                <w:sz w:val="18"/>
                <w:rFonts w:cs="B Lotus" w:hAnsi="Times New Roman" w:ascii="Times New Roman"/>
              </w:rPr>
              <w:t>۲۷۲٬۴۹۶</w:t>
            </w:r>
          </w:p>
        </w:tc>
      </w:tr>
      <w:tr>
        <w:trPr/>
        <w:tc>
          <w:tcPr>
            <w:tcW w:type="dxa" w:w="1360"/>
            <w:vAlign w:val="center"/>
            <w:tcMar>
              <w:top w:w="80" w:type="dxa"/>
              <w:left w:w="80" w:type="dxa"/>
              <w:bottom w:w="80" w:type="dxa"/>
              <w:right w:w="80" w:type="dxa"/>
            </w:tcMar>
          </w:tcPr>
          <w:p>
            <w:pPr>
              <w:bidi w:val="1"/>
              <w:jc w:val="center"/>
            </w:pPr>
            <w:r>
              <w:rPr>
                <w:sz w:val="18"/>
                <w:rFonts w:cs="B Lotus" w:hAnsi="Times New Roman" w:ascii="Times New Roman"/>
              </w:rPr>
              <w:t>اجزای ارزی ۶۵ م€ (همت)</w:t>
            </w:r>
          </w:p>
        </w:tc>
        <w:tc>
          <w:tcPr>
            <w:tcW w:type="dxa" w:w="1360"/>
            <w:vAlign w:val="center"/>
            <w:tcMar>
              <w:top w:w="80" w:type="dxa"/>
              <w:left w:w="80" w:type="dxa"/>
              <w:bottom w:w="80" w:type="dxa"/>
              <w:right w:w="80" w:type="dxa"/>
            </w:tcMar>
          </w:tcPr>
          <w:p>
            <w:pPr>
              <w:bidi w:val="1"/>
              <w:jc w:val="center"/>
            </w:pPr>
            <w:r>
              <w:rPr>
                <w:sz w:val="18"/>
                <w:rFonts w:cs="B Lotus" w:hAnsi="Times New Roman" w:ascii="Times New Roman"/>
              </w:rPr>
              <w:t>‎۱۰/۳‎</w:t>
            </w:r>
          </w:p>
        </w:tc>
        <w:tc>
          <w:tcPr>
            <w:tcW w:type="dxa" w:w="1360"/>
            <w:vAlign w:val="center"/>
            <w:tcMar>
              <w:top w:w="80" w:type="dxa"/>
              <w:left w:w="80" w:type="dxa"/>
              <w:bottom w:w="80" w:type="dxa"/>
              <w:right w:w="80" w:type="dxa"/>
            </w:tcMar>
          </w:tcPr>
          <w:p>
            <w:pPr>
              <w:bidi w:val="1"/>
              <w:jc w:val="center"/>
            </w:pPr>
            <w:r>
              <w:rPr>
                <w:sz w:val="18"/>
                <w:rFonts w:cs="B Lotus" w:hAnsi="Times New Roman" w:ascii="Times New Roman"/>
              </w:rPr>
              <w:t>‎۱۲/۴‎</w:t>
            </w:r>
          </w:p>
        </w:tc>
        <w:tc>
          <w:tcPr>
            <w:tcW w:type="dxa" w:w="1360"/>
            <w:vAlign w:val="center"/>
            <w:tcMar>
              <w:top w:w="80" w:type="dxa"/>
              <w:left w:w="80" w:type="dxa"/>
              <w:bottom w:w="80" w:type="dxa"/>
              <w:right w:w="80" w:type="dxa"/>
            </w:tcMar>
          </w:tcPr>
          <w:p>
            <w:pPr>
              <w:bidi w:val="1"/>
              <w:jc w:val="center"/>
            </w:pPr>
            <w:r>
              <w:rPr>
                <w:sz w:val="18"/>
                <w:rFonts w:cs="B Lotus" w:hAnsi="Times New Roman" w:ascii="Times New Roman"/>
              </w:rPr>
              <w:t>‎۱۳/۵‎</w:t>
            </w:r>
          </w:p>
        </w:tc>
        <w:tc>
          <w:tcPr>
            <w:tcW w:type="dxa" w:w="1360"/>
            <w:vAlign w:val="center"/>
            <w:tcMar>
              <w:top w:w="80" w:type="dxa"/>
              <w:left w:w="80" w:type="dxa"/>
              <w:bottom w:w="80" w:type="dxa"/>
              <w:right w:w="80" w:type="dxa"/>
            </w:tcMar>
          </w:tcPr>
          <w:p>
            <w:pPr>
              <w:bidi w:val="1"/>
              <w:jc w:val="center"/>
            </w:pPr>
            <w:r>
              <w:rPr>
                <w:sz w:val="18"/>
                <w:rFonts w:cs="B Lotus" w:hAnsi="Times New Roman" w:ascii="Times New Roman"/>
              </w:rPr>
              <w:t>‎۱۷/۷‎</w:t>
            </w:r>
          </w:p>
        </w:tc>
      </w:tr>
      <w:tr>
        <w:trPr/>
        <w:tc>
          <w:tcPr>
            <w:tcW w:type="dxa" w:w="1360"/>
            <w:vAlign w:val="center"/>
            <w:tcMar>
              <w:top w:w="80" w:type="dxa"/>
              <w:left w:w="80" w:type="dxa"/>
              <w:bottom w:w="80" w:type="dxa"/>
              <w:right w:w="80" w:type="dxa"/>
            </w:tcMar>
          </w:tcPr>
          <w:p>
            <w:pPr>
              <w:bidi w:val="1"/>
              <w:jc w:val="center"/>
            </w:pPr>
            <w:r>
              <w:rPr>
                <w:sz w:val="18"/>
                <w:rFonts w:cs="B Lotus" w:hAnsi="Times New Roman" w:ascii="Times New Roman"/>
              </w:rPr>
              <w:t>هزینه‌ی کل بازسازی (همت)</w:t>
            </w:r>
          </w:p>
        </w:tc>
        <w:tc>
          <w:tcPr>
            <w:tcW w:type="dxa" w:w="1360"/>
            <w:vAlign w:val="center"/>
            <w:tcMar>
              <w:top w:w="80" w:type="dxa"/>
              <w:left w:w="80" w:type="dxa"/>
              <w:bottom w:w="80" w:type="dxa"/>
              <w:right w:w="80" w:type="dxa"/>
            </w:tcMar>
          </w:tcPr>
          <w:p>
            <w:pPr>
              <w:bidi w:val="1"/>
              <w:jc w:val="center"/>
            </w:pPr>
            <w:r>
              <w:rPr>
                <w:sz w:val="18"/>
                <w:rFonts w:cs="B Lotus" w:hAnsi="Times New Roman" w:ascii="Times New Roman"/>
              </w:rPr>
              <w:t>‎۲۱/۳‎</w:t>
            </w:r>
          </w:p>
        </w:tc>
        <w:tc>
          <w:tcPr>
            <w:tcW w:type="dxa" w:w="1360"/>
            <w:vAlign w:val="center"/>
            <w:tcMar>
              <w:top w:w="80" w:type="dxa"/>
              <w:left w:w="80" w:type="dxa"/>
              <w:bottom w:w="80" w:type="dxa"/>
              <w:right w:w="80" w:type="dxa"/>
            </w:tcMar>
          </w:tcPr>
          <w:p>
            <w:pPr>
              <w:bidi w:val="1"/>
              <w:jc w:val="center"/>
            </w:pPr>
            <w:r>
              <w:rPr>
                <w:b/>
                <w:sz w:val="18"/>
                <w:rFonts w:cs="B Lotus" w:hAnsi="Times New Roman" w:ascii="Times New Roman"/>
              </w:rPr>
              <w:t>‎۲۳/۴‎</w:t>
            </w:r>
          </w:p>
        </w:tc>
        <w:tc>
          <w:tcPr>
            <w:tcW w:type="dxa" w:w="1360"/>
            <w:vAlign w:val="center"/>
            <w:tcMar>
              <w:top w:w="80" w:type="dxa"/>
              <w:left w:w="80" w:type="dxa"/>
              <w:bottom w:w="80" w:type="dxa"/>
              <w:right w:w="80" w:type="dxa"/>
            </w:tcMar>
          </w:tcPr>
          <w:p>
            <w:pPr>
              <w:bidi w:val="1"/>
              <w:jc w:val="center"/>
            </w:pPr>
            <w:r>
              <w:rPr>
                <w:sz w:val="18"/>
                <w:rFonts w:cs="B Lotus" w:hAnsi="Times New Roman" w:ascii="Times New Roman"/>
              </w:rPr>
              <w:t>‎۲۴/۵‎</w:t>
            </w:r>
          </w:p>
        </w:tc>
        <w:tc>
          <w:tcPr>
            <w:tcW w:type="dxa" w:w="1360"/>
            <w:vAlign w:val="center"/>
            <w:tcMar>
              <w:top w:w="80" w:type="dxa"/>
              <w:left w:w="80" w:type="dxa"/>
              <w:bottom w:w="80" w:type="dxa"/>
              <w:right w:w="80" w:type="dxa"/>
            </w:tcMar>
          </w:tcPr>
          <w:p>
            <w:pPr>
              <w:bidi w:val="1"/>
              <w:jc w:val="center"/>
            </w:pPr>
            <w:r>
              <w:rPr>
                <w:sz w:val="18"/>
                <w:rFonts w:cs="B Lotus" w:hAnsi="Times New Roman" w:ascii="Times New Roman"/>
              </w:rPr>
              <w:t>‎۲۸/۷‎</w:t>
            </w:r>
          </w:p>
        </w:tc>
      </w:tr>
      <w:tr>
        <w:trPr/>
        <w:tc>
          <w:tcPr>
            <w:tcW w:type="dxa" w:w="1360"/>
            <w:vAlign w:val="center"/>
            <w:tcMar>
              <w:top w:w="80" w:type="dxa"/>
              <w:left w:w="80" w:type="dxa"/>
              <w:bottom w:w="80" w:type="dxa"/>
              <w:right w:w="80" w:type="dxa"/>
            </w:tcMar>
          </w:tcPr>
          <w:p>
            <w:pPr>
              <w:bidi w:val="1"/>
              <w:jc w:val="center"/>
            </w:pPr>
            <w:r>
              <w:rPr>
                <w:sz w:val="18"/>
                <w:rFonts w:cs="B Lotus" w:hAnsi="Times New Roman" w:ascii="Times New Roman"/>
              </w:rPr>
              <w:t>بازسازی ÷ ارزش دفتری</w:t>
            </w:r>
          </w:p>
        </w:tc>
        <w:tc>
          <w:tcPr>
            <w:tcW w:type="dxa" w:w="1360"/>
            <w:vAlign w:val="center"/>
            <w:tcMar>
              <w:top w:w="80" w:type="dxa"/>
              <w:left w:w="80" w:type="dxa"/>
              <w:bottom w:w="80" w:type="dxa"/>
              <w:right w:w="80" w:type="dxa"/>
            </w:tcMar>
          </w:tcPr>
          <w:p>
            <w:pPr>
              <w:bidi w:val="1"/>
              <w:jc w:val="center"/>
            </w:pPr>
            <w:r>
              <w:rPr>
                <w:sz w:val="18"/>
                <w:rFonts w:cs="B Lotus" w:hAnsi="Times New Roman" w:ascii="Times New Roman"/>
              </w:rPr>
              <w:t>‎۴۵/۸‎×</w:t>
            </w:r>
          </w:p>
        </w:tc>
        <w:tc>
          <w:tcPr>
            <w:tcW w:type="dxa" w:w="1360"/>
            <w:vAlign w:val="center"/>
            <w:tcMar>
              <w:top w:w="80" w:type="dxa"/>
              <w:left w:w="80" w:type="dxa"/>
              <w:bottom w:w="80" w:type="dxa"/>
              <w:right w:w="80" w:type="dxa"/>
            </w:tcMar>
          </w:tcPr>
          <w:p>
            <w:pPr>
              <w:bidi w:val="1"/>
              <w:jc w:val="center"/>
            </w:pPr>
            <w:r>
              <w:rPr>
                <w:b/>
                <w:sz w:val="18"/>
                <w:rFonts w:cs="B Lotus" w:hAnsi="Times New Roman" w:ascii="Times New Roman"/>
              </w:rPr>
              <w:t>‎۵۰/۴‎×</w:t>
            </w:r>
          </w:p>
        </w:tc>
        <w:tc>
          <w:tcPr>
            <w:tcW w:type="dxa" w:w="1360"/>
            <w:vAlign w:val="center"/>
            <w:tcMar>
              <w:top w:w="80" w:type="dxa"/>
              <w:left w:w="80" w:type="dxa"/>
              <w:bottom w:w="80" w:type="dxa"/>
              <w:right w:w="80" w:type="dxa"/>
            </w:tcMar>
          </w:tcPr>
          <w:p>
            <w:pPr>
              <w:bidi w:val="1"/>
              <w:jc w:val="center"/>
            </w:pPr>
            <w:r>
              <w:rPr>
                <w:sz w:val="18"/>
                <w:rFonts w:cs="B Lotus" w:hAnsi="Times New Roman" w:ascii="Times New Roman"/>
              </w:rPr>
              <w:t>‎۵۲/۷‎×</w:t>
            </w:r>
          </w:p>
        </w:tc>
        <w:tc>
          <w:tcPr>
            <w:tcW w:type="dxa" w:w="1360"/>
            <w:vAlign w:val="center"/>
            <w:tcMar>
              <w:top w:w="80" w:type="dxa"/>
              <w:left w:w="80" w:type="dxa"/>
              <w:bottom w:w="80" w:type="dxa"/>
              <w:right w:w="80" w:type="dxa"/>
            </w:tcMar>
          </w:tcPr>
          <w:p>
            <w:pPr>
              <w:bidi w:val="1"/>
              <w:jc w:val="center"/>
            </w:pPr>
            <w:r>
              <w:rPr>
                <w:sz w:val="18"/>
                <w:rFonts w:cs="B Lotus" w:hAnsi="Times New Roman" w:ascii="Times New Roman"/>
              </w:rPr>
              <w:t>‎۶۱/۷‎×</w:t>
            </w:r>
          </w:p>
        </w:tc>
      </w:tr>
      <w:tr>
        <w:trPr/>
        <w:tc>
          <w:tcPr>
            <w:tcW w:type="dxa" w:w="1360"/>
            <w:vAlign w:val="center"/>
            <w:tcMar>
              <w:top w:w="80" w:type="dxa"/>
              <w:left w:w="80" w:type="dxa"/>
              <w:bottom w:w="80" w:type="dxa"/>
              <w:right w:w="80" w:type="dxa"/>
            </w:tcMar>
          </w:tcPr>
          <w:p>
            <w:pPr>
              <w:bidi w:val="1"/>
              <w:jc w:val="center"/>
            </w:pPr>
            <w:r>
              <w:rPr>
                <w:sz w:val="18"/>
                <w:rFonts w:cs="B Lotus" w:hAnsi="Times New Roman" w:ascii="Times New Roman"/>
              </w:rPr>
              <w:t>بازسازی ÷ خسارت دفتری</w:t>
            </w:r>
          </w:p>
        </w:tc>
        <w:tc>
          <w:tcPr>
            <w:tcW w:type="dxa" w:w="1360"/>
            <w:vAlign w:val="center"/>
            <w:tcMar>
              <w:top w:w="80" w:type="dxa"/>
              <w:left w:w="80" w:type="dxa"/>
              <w:bottom w:w="80" w:type="dxa"/>
              <w:right w:w="80" w:type="dxa"/>
            </w:tcMar>
          </w:tcPr>
          <w:p>
            <w:pPr>
              <w:bidi w:val="1"/>
              <w:jc w:val="center"/>
            </w:pPr>
            <w:r>
              <w:rPr>
                <w:sz w:val="18"/>
                <w:rFonts w:cs="B Lotus" w:hAnsi="Times New Roman" w:ascii="Times New Roman"/>
              </w:rPr>
              <w:t>۲۴۵×</w:t>
            </w:r>
          </w:p>
        </w:tc>
        <w:tc>
          <w:tcPr>
            <w:tcW w:type="dxa" w:w="1360"/>
            <w:vAlign w:val="center"/>
            <w:tcMar>
              <w:top w:w="80" w:type="dxa"/>
              <w:left w:w="80" w:type="dxa"/>
              <w:bottom w:w="80" w:type="dxa"/>
              <w:right w:w="80" w:type="dxa"/>
            </w:tcMar>
          </w:tcPr>
          <w:p>
            <w:pPr>
              <w:bidi w:val="1"/>
              <w:jc w:val="center"/>
            </w:pPr>
            <w:r>
              <w:rPr>
                <w:b/>
                <w:sz w:val="18"/>
                <w:rFonts w:cs="B Lotus" w:hAnsi="Times New Roman" w:ascii="Times New Roman"/>
              </w:rPr>
              <w:t>۲۶۹×</w:t>
            </w:r>
          </w:p>
        </w:tc>
        <w:tc>
          <w:tcPr>
            <w:tcW w:type="dxa" w:w="1360"/>
            <w:vAlign w:val="center"/>
            <w:tcMar>
              <w:top w:w="80" w:type="dxa"/>
              <w:left w:w="80" w:type="dxa"/>
              <w:bottom w:w="80" w:type="dxa"/>
              <w:right w:w="80" w:type="dxa"/>
            </w:tcMar>
          </w:tcPr>
          <w:p>
            <w:pPr>
              <w:bidi w:val="1"/>
              <w:jc w:val="center"/>
            </w:pPr>
            <w:r>
              <w:rPr>
                <w:sz w:val="18"/>
                <w:rFonts w:cs="B Lotus" w:hAnsi="Times New Roman" w:ascii="Times New Roman"/>
              </w:rPr>
              <w:t>۲۸۱×</w:t>
            </w:r>
          </w:p>
        </w:tc>
        <w:tc>
          <w:tcPr>
            <w:tcW w:type="dxa" w:w="1360"/>
            <w:vAlign w:val="center"/>
            <w:tcMar>
              <w:top w:w="80" w:type="dxa"/>
              <w:left w:w="80" w:type="dxa"/>
              <w:bottom w:w="80" w:type="dxa"/>
              <w:right w:w="80" w:type="dxa"/>
            </w:tcMar>
          </w:tcPr>
          <w:p>
            <w:pPr>
              <w:bidi w:val="1"/>
              <w:jc w:val="center"/>
            </w:pPr>
            <w:r>
              <w:rPr>
                <w:sz w:val="18"/>
                <w:rFonts w:cs="B Lotus" w:hAnsi="Times New Roman" w:ascii="Times New Roman"/>
              </w:rPr>
              <w:t>۳۳۰×</w:t>
            </w:r>
          </w:p>
        </w:tc>
      </w:tr>
    </w:tbl>
    <w:p>
      <w:r>
        <w:br/>
      </w:r>
    </w:p>
    <w:p>
      <w:pPr>
        <w:pStyle w:val="a0"/>
        <w:bidi w:val="1"/>
        <w:jc w:val="center"/>
        <w:spacing w:before="40" w:after="120" w:line="200" w:lineRule="auto"/>
      </w:pPr>
      <w:r>
        <w:rPr>
          <w:i w:val="0"/>
        </w:rPr>
        <w:t>مأخذ: محاسبات پژوهشگران بر پایه‌ی نرخ‌های سنددار جدول ۱؛ نرخ یورو معادل ‎۱/۱۵۴‎ برابر نرخ دلار در همان تاریخ (ضریب اعمال‌شده در همین جدول).</w:t>
      </w:r>
    </w:p>
    <w:p>
      <w:pPr>
        <w:pStyle w:val="a"/>
        <w:bidi w:val="1"/>
        <w:jc w:val="both"/>
        <w:spacing w:before="60" w:after="60" w:line="259" w:lineRule="auto"/>
      </w:pPr>
      <w:r>
        <w:t>نتیجه‌های کیفی با نرخ ارز جابه‌جا نمی‌شوند: نسبت هزینه به ارزش دفتری میان ‎۴۵/۸‎ و ‎۶۱/۷‎ و نسبت آن به خسارت میان ۲۴۵ و ۳۳۰ می‌ماند؛ آنچه تغییر می‌کند سطح عدد است، نه مرتبه‌ی بزرگی.</w:t>
      </w:r>
    </w:p>
    <w:p>
      <w:pPr>
        <w:pStyle w:val="a"/>
        <w:bidi w:val="1"/>
        <w:jc w:val="both"/>
        <w:spacing w:before="60" w:after="60" w:line="259" w:lineRule="auto"/>
      </w:pPr>
      <w:r>
        <w:t>مبنای چهارم: پرداخت به خانوار — ۳۶٬۵۳۳ میلیارد ریال اثاثیه و ۴٬۲۸۳ میلیارد ریال خودرو (۱۴۰۵)؛ پس چهار «قیمت» متفاوت برای خسارت وجود دارد و تا در یک ردیف ننشینند، مقایسه بی‌اعتبار است.</w:t>
      </w:r>
    </w:p>
    <w:p>
      <w:pPr>
        <w:pStyle w:val="a3"/>
        <w:bidi w:val="1"/>
        <w:jc w:val="both"/>
        <w:spacing w:before="200" w:after="100" w:line="259" w:lineRule="auto"/>
      </w:pPr>
      <w:r>
        <w:t>ه) یافته‌ی سوم: الگوی افشا و فرضیه‌ی انگیزه</w:t>
      </w:r>
    </w:p>
    <w:p>
      <w:pPr>
        <w:pStyle w:val="a"/>
        <w:bidi w:val="1"/>
        <w:jc w:val="both"/>
        <w:spacing w:before="60" w:after="60" w:line="259" w:lineRule="auto"/>
      </w:pPr>
      <w:r>
        <w:t xml:space="preserve">افشای خسارت جنگ قانوناً الزامی است (دنیای اقتصاد، ۱۴۰۵)؛ اما دو درِ باز پشت همین الزام هست: ارائه به سازمان بدون افشای عمومی، و توقف خودکار نماد در پی افشای گروه الف. در یکی از دو پرونده، حمله ۱۹ فروردین رخ داد و نماد تا ۳۱ تیر در تعلیق «بررسی وضعیت شفافیت اطلاعاتی» ماند — بی هیچ رقم خسارت؛ در دیگری، نماد از ۹ اسفند بسته بود، صورت‌های مالی فصل جنگ </w:t>
      </w:r>
      <w:r>
        <w:rPr>
          <w:b/>
        </w:rPr>
        <w:t>هیچ خسارتی ثبت نکرد</w:t>
      </w:r>
      <w:r>
        <w:t xml:space="preserve"> (شناسایی به سه‌ماهه‌ی دوم موکول شد) و رقم فقط ۱۶ شهریور، در گزارش تفسیری مدیریت، منتشر شد؛ به تصریح ناشر، اطلاعات رویداد «پس از تاریخ گزارش حسابرس» کامل شده است. پس داده هست و مانع، بی‌کفایتی نیست. توضیح محتمل‌تر </w:t>
      </w:r>
      <w:r>
        <w:rPr>
          <w:b/>
        </w:rPr>
        <w:t>قیمت‌گذاری نهادی افشا</w:t>
      </w:r>
      <w:r>
        <w:t xml:space="preserve"> است: افشاکننده ارزش بازار خود را در معرض می‌بیند، تأخیرکننده با یک تذکر روبه‌رو می‌شود. این </w:t>
      </w:r>
      <w:r>
        <w:rPr>
          <w:b/>
        </w:rPr>
        <w:t>فرضیه‌ی تبیینی</w:t>
      </w:r>
      <w:r>
        <w:t xml:space="preserve"> است، نه نتیجه‌ی علّی: داده‌ی ما افشا را ثبت می‌کند، نه انگیزه را. وقتی یک کفه این‌قدر سنگین است، بازماندن پرونده شگفتی ندارد.</w:t>
      </w:r>
    </w:p>
    <w:p>
      <w:pPr>
        <w:pStyle w:val="a"/>
        <w:bidi w:val="1"/>
        <w:jc w:val="both"/>
        <w:spacing w:before="60" w:after="60" w:line="259" w:lineRule="auto"/>
      </w:pPr>
      <w:r>
        <w:t xml:space="preserve">از سوی دیگر، در نظام مالی اروپا نیز تأخیر افشا در ریسک سیستمی شناخته شده، اما </w:t>
      </w:r>
      <w:r>
        <w:rPr>
          <w:b/>
        </w:rPr>
        <w:t>مشروط و زمان‌بندی‌شده</w:t>
      </w:r>
      <w:r>
        <w:t xml:space="preserve"> (مقرره‌ی سوءاستفاده‌ی بازار، ۲۰۱۴). پس راه‌حل، اجبار بیشتر نیست؛ </w:t>
      </w:r>
      <w:r>
        <w:rPr>
          <w:b/>
        </w:rPr>
        <w:t>کاهش هزینه‌ی افشا</w:t>
      </w:r>
      <w:r>
        <w:t xml:space="preserve"> است: با انتشار تجمیعی تأخیری پس از عبور از آستانه‌ی حداقل بنگاه، هیچ ناشری آماج قیمت‌گذاری بازار نمی‌شود و تصویر کلان شکل می‌گیرد.</w:t>
      </w:r>
    </w:p>
    <w:p>
      <w:pPr>
        <w:pStyle w:val="a"/>
        <w:bidi w:val="1"/>
        <w:jc w:val="both"/>
        <w:spacing w:before="60" w:after="60" w:line="259" w:lineRule="auto"/>
      </w:pPr>
      <w:r>
        <w:t>در چنین وضعیتی، قاعده‌ی انتساب لازم می‌شود.</w:t>
      </w:r>
      <w:r>
        <w:rPr>
          <w:vertAlign w:val="superscript"/>
        </w:rPr>
        <w:t>۲</w:t>
      </w:r>
      <w:r>
        <w:t xml:space="preserve"> فقط ارقام کارشناسی رسمی با تصریح علت پذیرفته می‌شوند؛ هر رقم زیان کارکردی پیش از انتساب با سه علت رقیب — ناترازی ساختاری، فرسودگی و حادثه‌ی صنعتی — و با اعلام دوره‌ی پایه آزموده می‌شود؛ وگرنه سهمی از زیان پیش از جنگ به نام جنگ ثبت می‌شود.</w:t>
      </w:r>
    </w:p>
    <w:p>
      <w:pPr>
        <w:pStyle w:val="a3"/>
        <w:bidi w:val="1"/>
        <w:jc w:val="both"/>
        <w:spacing w:before="200" w:after="100" w:line="259" w:lineRule="auto"/>
      </w:pPr>
      <w:r>
        <w:t>و) یافته‌ی چهارم: تاب‌آوری از مازاد و از یادگیری</w:t>
      </w:r>
    </w:p>
    <w:p>
      <w:pPr>
        <w:pStyle w:val="a"/>
        <w:bidi w:val="1"/>
        <w:jc w:val="both"/>
        <w:spacing w:before="60" w:after="60" w:line="259" w:lineRule="auto"/>
      </w:pPr>
      <w:r>
        <w:t xml:space="preserve">بازسازی یک سرعت ندارد: </w:t>
      </w:r>
      <w:r>
        <w:rPr>
          <w:b/>
        </w:rPr>
        <w:t>بای‌پس و آواربرداری</w:t>
      </w:r>
      <w:r>
        <w:t xml:space="preserve"> در روزها (سه ردیف فرآورشی در کمتر از ۱۰ روز)؛ </w:t>
      </w:r>
      <w:r>
        <w:rPr>
          <w:b/>
        </w:rPr>
        <w:t>اورهال</w:t>
      </w:r>
      <w:r>
        <w:t xml:space="preserve"> در هفته‌ها (بازگشت کامل یک پایانه در روز ۴۷)؛ و </w:t>
      </w:r>
      <w:r>
        <w:rPr>
          <w:b/>
        </w:rPr>
        <w:t>بازسازی ساختاری</w:t>
      </w:r>
      <w:r>
        <w:t xml:space="preserve"> در ماه‌ها تا سال‌ها (فولاد و پالایشگاه‌های عسلویه). پس هر «مدت بازسازی» یکتا در یک سو اشتباه می‌کند: برای ساختاری کم‌برآورد و برای اورهال بیش‌برآورد.</w:t>
      </w:r>
    </w:p>
    <w:p>
      <w:pPr>
        <w:pStyle w:val="a"/>
        <w:bidi w:val="1"/>
        <w:jc w:val="both"/>
        <w:spacing w:before="60" w:after="60" w:line="259" w:lineRule="auto"/>
      </w:pPr>
      <w:r>
        <w:t>مهم‌تر از سرعت، منبع تاب‌آوری است: در پالایش، تنها ‎۲/۳‎٪ ظرفیت در معرض آسیب بود و با بالا بردن خوراک سایر پالایشگاه‌ها جذب شد؛ کمبود ملی رخ نداد. در بخش گاز، ماجرا وارونه شد: ناترازی ساختاری از پیش وجود داشت و خروج ۲۳۰ میلیون مترمکعب در روز — نزدیک به ۲۳٪ تولید ملی — بی‌درنگ به ناترازی زمستانی ترجمه شد؛ بازگشت پله‌ای (۳۰، ۹۵ و حدود ۱۹۵) پله‌ی سومش را پس از آغاز سرما تجربه کرد. نمونه‌ی وابستگی متقابل زیرساخت‌های حیاتی است (رینالدی و همکاران، ۲۰۰۱). تفاوت دو بخش در بزرگی آسیب نبود؛ در مازاد قابل‌تخصیص بود: مازاد، بیمه است، نه اتلاف.</w:t>
      </w:r>
    </w:p>
    <w:p>
      <w:pPr>
        <w:pStyle w:val="a"/>
        <w:bidi w:val="1"/>
        <w:jc w:val="both"/>
        <w:spacing w:before="60" w:after="60" w:line="259" w:lineRule="auto"/>
      </w:pPr>
      <w:r>
        <w:t>لایه‌ی سوم، یادگیری است: فاز ۱۴ پارس جنوبی در جنگ بعدی افق بازسازی را از تابستان ۱۴۰۶ به پایان ۱۴۰۵ جلو کشید؛ اورهال فجرجم ۴۳ درصد کوتاه‌تر شد (شانا، ۱۴۰۵)؛ و دو پالایشگاه عسلویه به شرکت ملی گاز واگذار گردید. ظرفیت بازسازی، دارایی نامشهودی است که با هر بحران بزرگ‌تر می‌شود و در برنامه‌ریزی رسمی جای ثبت ندارد.</w:t>
      </w:r>
    </w:p>
    <w:p>
      <w:pPr>
        <w:pStyle w:val="a"/>
        <w:bidi w:val="1"/>
        <w:jc w:val="both"/>
        <w:spacing w:before="60" w:after="60" w:line="259" w:lineRule="auto"/>
      </w:pPr>
      <w:r>
        <w:rPr>
          <w:b/>
        </w:rPr>
        <w:t>یادداشت محتوایی ۳</w:t>
      </w:r>
      <w:r>
        <w:rPr>
          <w:b/>
          <w:vertAlign w:val="superscript"/>
        </w:rPr>
        <w:t>۳</w:t>
      </w:r>
      <w:r>
        <w:rPr>
          <w:b/>
        </w:rPr>
        <w:t xml:space="preserve"> (لایه‌ی اقلیمی):</w:t>
      </w:r>
      <w:r>
        <w:t xml:space="preserve"> کربن آزادشده در حمله و خسارت زیست‌محیطی — ۱۳ منطقه‌ی تحت مدیریت در ۷ استان، بیش از ۳۶۰ هزار مترمکعب مواد نفتی سوخته و ≈۱ میلیون تن CO₂ از مخازن تهران و البرز (گزارش رسمی سازمان حفاظت محیط‌زیست، فروردین ۱۴۰۵)؛ پوشش گیاهی سوخته ۷٬۵۰۰ تا ۸٬۵۰۰ هکتار (سه سند متفاوت) — و چارچوب ارزش‌گذاری بدهی بوم‌شناختی (طاوسی و همکاران، ۱۴۰۴) نقل می‌شود، نه به‌عنوان داده‌ی تازه. کربن نهفته‌ی بازسازی، در سنجه‌ی فیزیکی، ‎۱/۸‎ تا ‎۲/۴‎ تن به‌ازای هر تن فولاد و ‎۰/۵‎ تا ‎۰/۷‎ تن به‌ازای هر تن سیمان است و به‌ازای هر ۱٬۰۰۰ مگاوات ظرفیت بازسازی‌شده به ‎۰/۲‎ تا ‎۱/۴‎ میلیون تن CO₂e می‌رسد (پیوست، پ-۲)؛ پس «بازسازی سبز» یعنی </w:t>
      </w:r>
      <w:r>
        <w:rPr>
          <w:b/>
        </w:rPr>
        <w:t>خرید کاهش انتشار در همان مرحله‌ی تصمیم</w:t>
      </w:r>
      <w:r>
        <w:t>، نه تعویق بازسازی به بهانه‌ی سبزی.</w:t>
      </w:r>
    </w:p>
    <w:p>
      <w:pPr>
        <w:pBdr>
          <w:bottom w:val="single" w:sz="4" w:space="1" w:color="B9C4CA"/>
        </w:pBdr>
        <w:spacing w:before="120" w:after="120" w:line="240" w:lineRule="auto"/>
      </w:pPr>
      <w:r/>
    </w:p>
    <w:p>
      <w:pPr>
        <w:pBdr>
          <w:bottom w:val="single" w:sz="4" w:space="1" w:color="B9C4CA"/>
        </w:pBdr>
        <w:spacing w:before="120" w:after="120" w:line="240" w:lineRule="auto"/>
      </w:pPr>
      <w:r/>
    </w:p>
    <w:p>
      <w:pPr>
        <w:pStyle w:val="a3"/>
        <w:bidi w:val="1"/>
        <w:jc w:val="both"/>
        <w:spacing w:before="240" w:after="120" w:line="276" w:lineRule="auto"/>
      </w:pPr>
      <w:r>
        <w:t>۳. پیشنهادهای سیاستی</w:t>
      </w:r>
    </w:p>
    <w:p>
      <w:pPr>
        <w:pStyle w:val="a"/>
        <w:bidi w:val="1"/>
        <w:jc w:val="both"/>
        <w:spacing w:before="60" w:after="60" w:line="259" w:lineRule="auto"/>
      </w:pPr>
      <w:r>
        <w:t>چهار بسته از میان هشت پیشنهاد اولیه بیرون آمد؛ معیار: بسته‌ای که متولی، افق و شاخص ندارد، توصیه نیست. ستون «هزینه‌ی صفر» حذف شد — بسته‌ی بی‌هزینه وجود ندارد و ادعای آن همان خطای نقدشده‌ی این مقاله است؛ پس هزینه‌ی نهادی هر بسته آمده است.</w:t>
      </w:r>
    </w:p>
    <w:p>
      <w:pPr>
        <w:pStyle w:val="a3"/>
        <w:bidi w:val="1"/>
        <w:jc w:val="both"/>
        <w:spacing w:before="200" w:after="100" w:line="259" w:lineRule="auto"/>
      </w:pPr>
      <w:r>
        <w:t>الف) رجیستری خسارت با برچسب سه‌گانه</w:t>
      </w:r>
    </w:p>
    <w:p>
      <w:pPr>
        <w:pStyle w:val="a"/>
        <w:bidi w:val="1"/>
        <w:jc w:val="both"/>
        <w:spacing w:before="60" w:after="60" w:line="259" w:lineRule="auto"/>
      </w:pPr>
      <w:r>
        <w:t>هر رخداد، ظرف ۳۰ روز، در گزارش محرمانه‌ی ساختاریافته به ناظر ثبت شود با چهار قلم اجباری (دامنه، مبنا، تاریخ، ظرفیت)؛ انتشار عمومی تجمیعی و تأخیری است و پس از عبور از آستانه‌ی حداقل تعداد بنگاه رخ می‌دهد. مبنای حقوقی، داخلی است: ماده ۱۵ دستورالعمل اجرایی افشای اطلاعات (تأخیر مجاز با اعلام ناظر و مستندات، پس از رفع محدودیت) و ماده ۱۴ مکرر آن (گزارش تفسیری مدیریت)؛ و در سطح تطبیقی، مقرره‌ی سوءاستفاده‌ی بازار اتحادیه‌ی اروپا (۲۰۱۴) با همان سه شرط. در سابقه‌ی بین‌المللی پرداخت خسارت نیز، پرونده‌ی مستند پیش‌شرط وصول بوده است (کمیسیون جبران خسارت سازمان ملل، ۲۰۰۵).</w:t>
      </w:r>
    </w:p>
    <w:p>
      <w:pPr>
        <w:pStyle w:val="a"/>
        <w:bidi w:val="1"/>
        <w:jc w:val="both"/>
        <w:spacing w:before="60" w:after="60" w:line="259" w:lineRule="auto"/>
      </w:pPr>
      <w:r>
        <w:t xml:space="preserve">دو نکته‌ی طراحی: وضعیت معاملاتی در پنجره‌ی محرمانه باید </w:t>
      </w:r>
      <w:r>
        <w:rPr>
          <w:b/>
        </w:rPr>
        <w:t>تعلیق هدفمند با بازگشایی زمان‌بندی‌شده</w:t>
      </w:r>
      <w:r>
        <w:t xml:space="preserve"> باشد، نه تعلیق بی‌پایان؛ و ثبت، </w:t>
      </w:r>
      <w:r>
        <w:rPr>
          <w:b/>
        </w:rPr>
        <w:t>ادعای جبران ایجاد نکند</w:t>
      </w:r>
      <w:r>
        <w:t xml:space="preserve"> تا انگیزه‌ی بیش‌اظهار شکل نگیرد. دو ضمانت کیفیت داده هم افزوده می‌شود: </w:t>
      </w:r>
      <w:r>
        <w:rPr>
          <w:b/>
        </w:rPr>
        <w:t>حسابرسی مستقل نمونه‌ای</w:t>
      </w:r>
      <w:r>
        <w:t xml:space="preserve"> از ثبت‌ها و </w:t>
      </w:r>
      <w:r>
        <w:rPr>
          <w:b/>
        </w:rPr>
        <w:t>مسیر اعتراض ناشر</w:t>
      </w:r>
      <w:r>
        <w:t xml:space="preserve"> به رکورد ثبت‌شده. متولی: سازمان بورس و وزارت نفت؛ پایلوت سه ماه، اجرای دوازده‌ماهه؛ شاخص: سهم ناشران با افشای استاندارد در ۳۰ روز.</w:t>
      </w:r>
    </w:p>
    <w:p>
      <w:pPr>
        <w:pStyle w:val="a3"/>
        <w:bidi w:val="1"/>
        <w:jc w:val="both"/>
        <w:spacing w:before="200" w:after="100" w:line="259" w:lineRule="auto"/>
      </w:pPr>
      <w:r>
        <w:t>ب) قاعده‌ی تخصیص ارزبری</w:t>
      </w:r>
    </w:p>
    <w:p>
      <w:pPr>
        <w:pStyle w:val="a"/>
        <w:bidi w:val="1"/>
        <w:jc w:val="both"/>
        <w:spacing w:before="60" w:after="60" w:line="259" w:lineRule="auto"/>
      </w:pPr>
      <w:r>
        <w:t>مسئله‌ی امروز، صف است؛ جای صف، رتبه‌بندی می‌نشیند: پروژه‌ها در چهار خانواده‌ی خدمت (برق، گاز، پالایش، صنایع پایین‌دستی) جداگانه بر پایه‌ی «هزینه بر واحد خدمت بازیابی‌شده» مرتب شوند، با تحلیل چندمعیاره‌ی وزن‌دار میان خانواده‌ها و نرخ ارز شفاف هر محاسبه. بدین‌ترتیب سه پیامد: قیمت سایه‌ی ارز آشکار می‌شود؛ ترتیب تخصیص به هزینه‌اثربخشی می‌چرخد؛ و پروژه‌های کم‌اثر پرهزینه از صف می‌افتند. متولی: بانک مرکزی و وزارت نفت؛ افق: شش ماه پس از استقرار رجیستری، چون رتبه‌بندی به داده‌ی همان رجیستری وابسته است؛ شاخص: انحراف ترتیب واقعی تخصیص از ترتیب هزینه‌اثربخش. هزینه‌ی نهادی کم است؛ بسته بودجه نمی‌خواهد، قاعده می‌خواهد.</w:t>
      </w:r>
    </w:p>
    <w:p>
      <w:pPr>
        <w:pStyle w:val="a3"/>
        <w:bidi w:val="1"/>
        <w:jc w:val="both"/>
        <w:spacing w:before="200" w:after="100" w:line="259" w:lineRule="auto"/>
      </w:pPr>
      <w:r>
        <w:t>ج) استاندارد کمّی تاب‌آوری</w:t>
      </w:r>
    </w:p>
    <w:p>
      <w:pPr>
        <w:pStyle w:val="a"/>
        <w:bidi w:val="1"/>
        <w:jc w:val="both"/>
        <w:spacing w:before="60" w:after="60" w:line="259" w:lineRule="auto"/>
      </w:pPr>
      <w:r>
        <w:t>یافته‌ی چهارم نشان داد تاب‌آوری از مازاد می‌آید؛ ازاین‌رو مازاد باید عدد داشته باشد، وگرنه در تنگنای مالی نخستین قربانی است. پیشنهاد: معیار N-1 در گاز — ظرفیت تأمین پس از حذف بزرگ‌ترین زیرساخت نباید از تقاضای اوج کمتر شود — و هدف صریح حاشیه‌ی ذخیره در برق. این معیار در امنیت عرضه‌ی گاز اروپا شناخته‌شده است (مقرره‌ی امنیت عرضه‌ی گاز اتحادیه‌ی اروپا، ۲۰۱۷) تعریف گره‌ها و مطالعه‌ی جریان شبکه، تصدیق عملیاتی را ممکن می‌کند؛ شبیه‌سازی مرتبه‌ی نخست با داده‌ی عمومی ممکن است، اما تصدیق نهایی نیازمند داده‌ی گرهی و سناریوی اوج تقاضاست. افزون بر آن، ظرفیت قابل‌تخصیص باید عمومی افشا شود تا فهرست مازاد به‌روز بماند. متولی: وزارت نفت و توانیر؛ افق دوازده ماه؛ شاخص: تحقق معیار در سناریوی حذف بزرگ‌ترین زیرساخت. هزینه‌ی نهادی متوسط است، چون تنها بسته‌ی سرمایه‌بر است.</w:t>
      </w:r>
    </w:p>
    <w:p>
      <w:pPr>
        <w:pStyle w:val="a3"/>
        <w:bidi w:val="1"/>
        <w:jc w:val="both"/>
        <w:spacing w:before="200" w:after="100" w:line="259" w:lineRule="auto"/>
      </w:pPr>
      <w:r>
        <w:t>د) لایه‌ی اقلیمی در مناقصه‌ی بازسازی</w:t>
      </w:r>
    </w:p>
    <w:p>
      <w:pPr>
        <w:pStyle w:val="a"/>
        <w:bidi w:val="1"/>
        <w:jc w:val="both"/>
        <w:spacing w:before="60" w:after="60" w:line="259" w:lineRule="auto"/>
      </w:pPr>
      <w:r>
        <w:t>بازسازی خودش انتشارزا است؛ اگر معیار زیست‌محیطی به مناقصه وارد نشود، «بازسازی سبز» شعاری می‌شود که بعد از بتن‌ریزی هم تکرار می‌شود. پیشنهاد، افزودن دو معیار به ارزیابی مناقصه است: کربن نهفته (با روش‌های استاندارد EN 15804 و ISO 14067) و ارزبری بر واحد خدمت بازیابی‌شده. کاهش انتشار آن‌جا خریده می‌شود که هزینه‌ی نهایی‌اش کم است — همان مرحله‌ی تصمیم. پشتوانه: اصول پیش‌نویس حقوق بین‌الملل برای حفاظت از محیط زیست در مخاصمات مسلحانه (کمیسیون حقوق بین‌الملل، ۲۰۲۲). متولی: سازمان محیط زیست و وزارت نفت؛ افق شش ماه؛ شاخص: سهم مناقصه‌های واجد معیار کربن. هزینه‌ی نهادی کم است — معیار است، نه بودجه.</w:t>
      </w:r>
    </w:p>
    <w:p>
      <w:pPr>
        <w:pStyle w:val="a"/>
        <w:bidi w:val="1"/>
        <w:jc w:val="both"/>
        <w:spacing w:before="60" w:after="60" w:line="259" w:lineRule="auto"/>
      </w:pPr>
      <w:r>
        <w:rPr>
          <w:b/>
        </w:rPr>
        <w:t>ترتیب اجرا</w:t>
      </w:r>
      <w:r>
        <w:t xml:space="preserve"> از هزینه‌ی نهادی و وابستگی داده‌ای برمی‌آید، نه از اهمیت: بسته‌ی ۱ با پایلوت سه‌ماهه آغاز می‌شود؛ بسته‌های ۲ و ۴ پس از آن شش ماه وقت دارند، چون ابزارشان تغییر قاعده است اما رتبه‌بندی و معیار کربن به داده‌ی همان رجیستری وابسته‌اند؛ و بسته‌ی ۳ دوازده ماه. هیچ‌یک، در فرض تأیید حقوقی مسیرهای استنادشده، اصلاح قانون نمی‌خواهد. اگر تنها یکی فرصت اجرا بیابد، بسته‌ی نخست، چون سه بسته‌ی دیگر روی داده‌ی آن بنا می‌شوند.</w:t>
      </w:r>
    </w:p>
    <w:p>
      <w:pPr>
        <w:pStyle w:val="a2"/>
        <w:bidi w:val="1"/>
        <w:jc w:val="center"/>
        <w:spacing w:before="120" w:after="60" w:line="216" w:lineRule="auto"/>
      </w:pPr>
      <w:r>
        <w:t>جدول ۴. بسته‌های سیاستی، متولی، افق و شاخص سنجش</w:t>
      </w:r>
    </w:p>
    <w:tbl>
      <w:tblPr>
        <w:tblStyle w:val="TableGrid"/>
        <w:tblW w:type="auto" w:w="0"/>
        <w:jc w:val="center"/>
        <w:tblLayout w:type="autofit"/>
        <w:tblLook w:firstColumn="1" w:firstRow="1" w:lastColumn="0" w:lastRow="0" w:noHBand="0" w:noVBand="1" w:val="04A0"/>
        <w:bidiVisual/>
      </w:tblPr>
      <w:tblGrid>
        <w:gridCol w:w="1360"/>
        <w:gridCol w:w="1360"/>
        <w:gridCol w:w="1360"/>
        <w:gridCol w:w="1360"/>
        <w:gridCol w:w="1360"/>
      </w:tblGrid>
      <w:tr>
        <w:trPr/>
        <w:tc>
          <w:tcPr>
            <w:tcW w:type="dxa" w:w="1360"/>
            <w:vAlign w:val="center"/>
            <w:shd w:val="clear" w:color="auto" w:fill="EEF4F7"/>
            <w:tcMar>
              <w:top w:w="80" w:type="dxa"/>
              <w:left w:w="80" w:type="dxa"/>
              <w:bottom w:w="80" w:type="dxa"/>
              <w:right w:w="80" w:type="dxa"/>
            </w:tcMar>
          </w:tcPr>
          <w:p>
            <w:pPr>
              <w:bidi w:val="1"/>
              <w:jc w:val="center"/>
            </w:pPr>
            <w:r>
              <w:rPr>
                <w:b/>
                <w:sz w:val="19"/>
                <w:rFonts w:cs="B Lotus" w:hAnsi="Times New Roman" w:ascii="Times New Roman"/>
              </w:rPr>
              <w:t>بسته</w:t>
            </w:r>
          </w:p>
        </w:tc>
        <w:tc>
          <w:tcPr>
            <w:tcW w:type="dxa" w:w="1360"/>
            <w:vAlign w:val="center"/>
            <w:shd w:val="clear" w:color="auto" w:fill="EEF4F7"/>
            <w:tcMar>
              <w:top w:w="80" w:type="dxa"/>
              <w:left w:w="80" w:type="dxa"/>
              <w:bottom w:w="80" w:type="dxa"/>
              <w:right w:w="80" w:type="dxa"/>
            </w:tcMar>
          </w:tcPr>
          <w:p>
            <w:pPr>
              <w:bidi w:val="1"/>
              <w:jc w:val="center"/>
            </w:pPr>
            <w:r>
              <w:rPr>
                <w:b/>
                <w:sz w:val="19"/>
                <w:rFonts w:cs="B Lotus" w:hAnsi="Times New Roman" w:ascii="Times New Roman"/>
              </w:rPr>
              <w:t>متولی</w:t>
            </w:r>
          </w:p>
        </w:tc>
        <w:tc>
          <w:tcPr>
            <w:tcW w:type="dxa" w:w="1360"/>
            <w:vAlign w:val="center"/>
            <w:shd w:val="clear" w:color="auto" w:fill="EEF4F7"/>
            <w:tcMar>
              <w:top w:w="80" w:type="dxa"/>
              <w:left w:w="80" w:type="dxa"/>
              <w:bottom w:w="80" w:type="dxa"/>
              <w:right w:w="80" w:type="dxa"/>
            </w:tcMar>
          </w:tcPr>
          <w:p>
            <w:pPr>
              <w:bidi w:val="1"/>
              <w:jc w:val="center"/>
            </w:pPr>
            <w:r>
              <w:rPr>
                <w:b/>
                <w:sz w:val="19"/>
                <w:rFonts w:cs="B Lotus" w:hAnsi="Times New Roman" w:ascii="Times New Roman"/>
              </w:rPr>
              <w:t>افق</w:t>
            </w:r>
          </w:p>
        </w:tc>
        <w:tc>
          <w:tcPr>
            <w:tcW w:type="dxa" w:w="1360"/>
            <w:vAlign w:val="center"/>
            <w:shd w:val="clear" w:color="auto" w:fill="EEF4F7"/>
            <w:tcMar>
              <w:top w:w="80" w:type="dxa"/>
              <w:left w:w="80" w:type="dxa"/>
              <w:bottom w:w="80" w:type="dxa"/>
              <w:right w:w="80" w:type="dxa"/>
            </w:tcMar>
          </w:tcPr>
          <w:p>
            <w:pPr>
              <w:bidi w:val="1"/>
              <w:jc w:val="center"/>
            </w:pPr>
            <w:r>
              <w:rPr>
                <w:b/>
                <w:sz w:val="19"/>
                <w:rFonts w:cs="B Lotus" w:hAnsi="Times New Roman" w:ascii="Times New Roman"/>
              </w:rPr>
              <w:t>شاخص سنجش</w:t>
            </w:r>
          </w:p>
        </w:tc>
        <w:tc>
          <w:tcPr>
            <w:tcW w:type="dxa" w:w="1360"/>
            <w:vAlign w:val="center"/>
            <w:shd w:val="clear" w:color="auto" w:fill="EEF4F7"/>
            <w:tcMar>
              <w:top w:w="80" w:type="dxa"/>
              <w:left w:w="80" w:type="dxa"/>
              <w:bottom w:w="80" w:type="dxa"/>
              <w:right w:w="80" w:type="dxa"/>
            </w:tcMar>
          </w:tcPr>
          <w:p>
            <w:pPr>
              <w:bidi w:val="1"/>
              <w:jc w:val="center"/>
            </w:pPr>
            <w:r>
              <w:rPr>
                <w:b/>
                <w:sz w:val="19"/>
                <w:rFonts w:cs="B Lotus" w:hAnsi="Times New Roman" w:ascii="Times New Roman"/>
              </w:rPr>
              <w:t>هزینه‌ی نهادی</w:t>
            </w:r>
          </w:p>
        </w:tc>
      </w:tr>
      <w:tr>
        <w:trPr/>
        <w:tc>
          <w:tcPr>
            <w:tcW w:type="dxa" w:w="1360"/>
            <w:vAlign w:val="center"/>
            <w:tcMar>
              <w:top w:w="80" w:type="dxa"/>
              <w:left w:w="80" w:type="dxa"/>
              <w:bottom w:w="80" w:type="dxa"/>
              <w:right w:w="80" w:type="dxa"/>
            </w:tcMar>
          </w:tcPr>
          <w:p>
            <w:pPr>
              <w:bidi w:val="1"/>
              <w:jc w:val="center"/>
            </w:pPr>
            <w:r>
              <w:rPr>
                <w:sz w:val="18"/>
                <w:rFonts w:cs="B Lotus" w:hAnsi="Times New Roman" w:ascii="Times New Roman"/>
              </w:rPr>
              <w:t>۱. رجیستری خسارت با برچسب سه‌گانه</w:t>
            </w:r>
          </w:p>
        </w:tc>
        <w:tc>
          <w:tcPr>
            <w:tcW w:type="dxa" w:w="1360"/>
            <w:vAlign w:val="center"/>
            <w:tcMar>
              <w:top w:w="80" w:type="dxa"/>
              <w:left w:w="80" w:type="dxa"/>
              <w:bottom w:w="80" w:type="dxa"/>
              <w:right w:w="80" w:type="dxa"/>
            </w:tcMar>
          </w:tcPr>
          <w:p>
            <w:pPr>
              <w:bidi w:val="1"/>
              <w:jc w:val="center"/>
            </w:pPr>
            <w:r>
              <w:rPr>
                <w:sz w:val="18"/>
                <w:rFonts w:cs="B Lotus" w:hAnsi="Times New Roman" w:ascii="Times New Roman"/>
              </w:rPr>
              <w:t>سازمان بورس + وزارت نفت</w:t>
            </w:r>
          </w:p>
        </w:tc>
        <w:tc>
          <w:tcPr>
            <w:tcW w:type="dxa" w:w="1360"/>
            <w:vAlign w:val="center"/>
            <w:tcMar>
              <w:top w:w="80" w:type="dxa"/>
              <w:left w:w="80" w:type="dxa"/>
              <w:bottom w:w="80" w:type="dxa"/>
              <w:right w:w="80" w:type="dxa"/>
            </w:tcMar>
          </w:tcPr>
          <w:p>
            <w:pPr>
              <w:bidi w:val="1"/>
              <w:jc w:val="center"/>
            </w:pPr>
            <w:r>
              <w:rPr>
                <w:sz w:val="18"/>
                <w:rFonts w:cs="B Lotus" w:hAnsi="Times New Roman" w:ascii="Times New Roman"/>
              </w:rPr>
              <w:t>پایلوت ۳ ماه · اجرا ۱۲ ماه</w:t>
            </w:r>
          </w:p>
        </w:tc>
        <w:tc>
          <w:tcPr>
            <w:tcW w:type="dxa" w:w="1360"/>
            <w:vAlign w:val="center"/>
            <w:tcMar>
              <w:top w:w="80" w:type="dxa"/>
              <w:left w:w="80" w:type="dxa"/>
              <w:bottom w:w="80" w:type="dxa"/>
              <w:right w:w="80" w:type="dxa"/>
            </w:tcMar>
          </w:tcPr>
          <w:p>
            <w:pPr>
              <w:bidi w:val="1"/>
              <w:jc w:val="center"/>
            </w:pPr>
            <w:r>
              <w:rPr>
                <w:sz w:val="18"/>
                <w:rFonts w:cs="B Lotus" w:hAnsi="Times New Roman" w:ascii="Times New Roman"/>
              </w:rPr>
              <w:t>سهم ناشران با افشای استاندارد در ۳۰ روز</w:t>
            </w:r>
          </w:p>
        </w:tc>
        <w:tc>
          <w:tcPr>
            <w:tcW w:type="dxa" w:w="1360"/>
            <w:vAlign w:val="center"/>
            <w:tcMar>
              <w:top w:w="80" w:type="dxa"/>
              <w:left w:w="80" w:type="dxa"/>
              <w:bottom w:w="80" w:type="dxa"/>
              <w:right w:w="80" w:type="dxa"/>
            </w:tcMar>
          </w:tcPr>
          <w:p>
            <w:pPr>
              <w:bidi w:val="1"/>
              <w:jc w:val="center"/>
            </w:pPr>
            <w:r>
              <w:rPr>
                <w:sz w:val="18"/>
                <w:rFonts w:cs="B Lotus" w:hAnsi="Times New Roman" w:ascii="Times New Roman"/>
              </w:rPr>
              <w:t>متوسط (انطباق)</w:t>
            </w:r>
          </w:p>
        </w:tc>
      </w:tr>
      <w:tr>
        <w:trPr/>
        <w:tc>
          <w:tcPr>
            <w:tcW w:type="dxa" w:w="1360"/>
            <w:vAlign w:val="center"/>
            <w:tcMar>
              <w:top w:w="80" w:type="dxa"/>
              <w:left w:w="80" w:type="dxa"/>
              <w:bottom w:w="80" w:type="dxa"/>
              <w:right w:w="80" w:type="dxa"/>
            </w:tcMar>
          </w:tcPr>
          <w:p>
            <w:pPr>
              <w:bidi w:val="1"/>
              <w:jc w:val="center"/>
            </w:pPr>
            <w:r>
              <w:rPr>
                <w:sz w:val="18"/>
                <w:rFonts w:cs="B Lotus" w:hAnsi="Times New Roman" w:ascii="Times New Roman"/>
              </w:rPr>
              <w:t>۲. قاعده‌ی تخصیص ارزبری</w:t>
            </w:r>
          </w:p>
        </w:tc>
        <w:tc>
          <w:tcPr>
            <w:tcW w:type="dxa" w:w="1360"/>
            <w:vAlign w:val="center"/>
            <w:tcMar>
              <w:top w:w="80" w:type="dxa"/>
              <w:left w:w="80" w:type="dxa"/>
              <w:bottom w:w="80" w:type="dxa"/>
              <w:right w:w="80" w:type="dxa"/>
            </w:tcMar>
          </w:tcPr>
          <w:p>
            <w:pPr>
              <w:bidi w:val="1"/>
              <w:jc w:val="center"/>
            </w:pPr>
            <w:r>
              <w:rPr>
                <w:sz w:val="18"/>
                <w:rFonts w:cs="B Lotus" w:hAnsi="Times New Roman" w:ascii="Times New Roman"/>
              </w:rPr>
              <w:t>بانک مرکزی + وزارت نفت</w:t>
            </w:r>
          </w:p>
        </w:tc>
        <w:tc>
          <w:tcPr>
            <w:tcW w:type="dxa" w:w="1360"/>
            <w:vAlign w:val="center"/>
            <w:tcMar>
              <w:top w:w="80" w:type="dxa"/>
              <w:left w:w="80" w:type="dxa"/>
              <w:bottom w:w="80" w:type="dxa"/>
              <w:right w:w="80" w:type="dxa"/>
            </w:tcMar>
          </w:tcPr>
          <w:p>
            <w:pPr>
              <w:bidi w:val="1"/>
              <w:jc w:val="center"/>
            </w:pPr>
            <w:r>
              <w:rPr>
                <w:sz w:val="18"/>
                <w:rFonts w:cs="B Lotus" w:hAnsi="Times New Roman" w:ascii="Times New Roman"/>
              </w:rPr>
              <w:t>۶ ماه</w:t>
            </w:r>
          </w:p>
        </w:tc>
        <w:tc>
          <w:tcPr>
            <w:tcW w:type="dxa" w:w="1360"/>
            <w:vAlign w:val="center"/>
            <w:tcMar>
              <w:top w:w="80" w:type="dxa"/>
              <w:left w:w="80" w:type="dxa"/>
              <w:bottom w:w="80" w:type="dxa"/>
              <w:right w:w="80" w:type="dxa"/>
            </w:tcMar>
          </w:tcPr>
          <w:p>
            <w:pPr>
              <w:bidi w:val="1"/>
              <w:jc w:val="center"/>
            </w:pPr>
            <w:r>
              <w:rPr>
                <w:sz w:val="18"/>
                <w:rFonts w:cs="B Lotus" w:hAnsi="Times New Roman" w:ascii="Times New Roman"/>
              </w:rPr>
              <w:t>انحراف ترتیب تخصیص از ترتیب هزینه‌اثربخش</w:t>
            </w:r>
          </w:p>
        </w:tc>
        <w:tc>
          <w:tcPr>
            <w:tcW w:type="dxa" w:w="1360"/>
            <w:vAlign w:val="center"/>
            <w:tcMar>
              <w:top w:w="80" w:type="dxa"/>
              <w:left w:w="80" w:type="dxa"/>
              <w:bottom w:w="80" w:type="dxa"/>
              <w:right w:w="80" w:type="dxa"/>
            </w:tcMar>
          </w:tcPr>
          <w:p>
            <w:pPr>
              <w:bidi w:val="1"/>
              <w:jc w:val="center"/>
            </w:pPr>
            <w:r>
              <w:rPr>
                <w:sz w:val="18"/>
                <w:rFonts w:cs="B Lotus" w:hAnsi="Times New Roman" w:ascii="Times New Roman"/>
              </w:rPr>
              <w:t>کم (قاعده)</w:t>
            </w:r>
          </w:p>
        </w:tc>
      </w:tr>
      <w:tr>
        <w:trPr/>
        <w:tc>
          <w:tcPr>
            <w:tcW w:type="dxa" w:w="1360"/>
            <w:vAlign w:val="center"/>
            <w:tcMar>
              <w:top w:w="80" w:type="dxa"/>
              <w:left w:w="80" w:type="dxa"/>
              <w:bottom w:w="80" w:type="dxa"/>
              <w:right w:w="80" w:type="dxa"/>
            </w:tcMar>
          </w:tcPr>
          <w:p>
            <w:pPr>
              <w:bidi w:val="1"/>
              <w:jc w:val="center"/>
            </w:pPr>
            <w:r>
              <w:rPr>
                <w:sz w:val="18"/>
                <w:rFonts w:cs="B Lotus" w:hAnsi="Times New Roman" w:ascii="Times New Roman"/>
              </w:rPr>
              <w:t>۳. استاندارد کمّی تاب‌آوری (N-1)</w:t>
            </w:r>
          </w:p>
        </w:tc>
        <w:tc>
          <w:tcPr>
            <w:tcW w:type="dxa" w:w="1360"/>
            <w:vAlign w:val="center"/>
            <w:tcMar>
              <w:top w:w="80" w:type="dxa"/>
              <w:left w:w="80" w:type="dxa"/>
              <w:bottom w:w="80" w:type="dxa"/>
              <w:right w:w="80" w:type="dxa"/>
            </w:tcMar>
          </w:tcPr>
          <w:p>
            <w:pPr>
              <w:bidi w:val="1"/>
              <w:jc w:val="center"/>
            </w:pPr>
            <w:r>
              <w:rPr>
                <w:sz w:val="18"/>
                <w:rFonts w:cs="B Lotus" w:hAnsi="Times New Roman" w:ascii="Times New Roman"/>
              </w:rPr>
              <w:t>وزارت نفت · توانیر</w:t>
            </w:r>
          </w:p>
        </w:tc>
        <w:tc>
          <w:tcPr>
            <w:tcW w:type="dxa" w:w="1360"/>
            <w:vAlign w:val="center"/>
            <w:tcMar>
              <w:top w:w="80" w:type="dxa"/>
              <w:left w:w="80" w:type="dxa"/>
              <w:bottom w:w="80" w:type="dxa"/>
              <w:right w:w="80" w:type="dxa"/>
            </w:tcMar>
          </w:tcPr>
          <w:p>
            <w:pPr>
              <w:bidi w:val="1"/>
              <w:jc w:val="center"/>
            </w:pPr>
            <w:r>
              <w:rPr>
                <w:sz w:val="18"/>
                <w:rFonts w:cs="B Lotus" w:hAnsi="Times New Roman" w:ascii="Times New Roman"/>
              </w:rPr>
              <w:t>۱۲ ماه</w:t>
            </w:r>
          </w:p>
        </w:tc>
        <w:tc>
          <w:tcPr>
            <w:tcW w:type="dxa" w:w="1360"/>
            <w:vAlign w:val="center"/>
            <w:tcMar>
              <w:top w:w="80" w:type="dxa"/>
              <w:left w:w="80" w:type="dxa"/>
              <w:bottom w:w="80" w:type="dxa"/>
              <w:right w:w="80" w:type="dxa"/>
            </w:tcMar>
          </w:tcPr>
          <w:p>
            <w:pPr>
              <w:bidi w:val="1"/>
              <w:jc w:val="center"/>
            </w:pPr>
            <w:r>
              <w:rPr>
                <w:sz w:val="18"/>
                <w:rFonts w:cs="B Lotus" w:hAnsi="Times New Roman" w:ascii="Times New Roman"/>
              </w:rPr>
              <w:t>تحقق معیار در سناریوی حذف بزرگ‌ترین زیرساخت</w:t>
            </w:r>
          </w:p>
        </w:tc>
        <w:tc>
          <w:tcPr>
            <w:tcW w:type="dxa" w:w="1360"/>
            <w:vAlign w:val="center"/>
            <w:tcMar>
              <w:top w:w="80" w:type="dxa"/>
              <w:left w:w="80" w:type="dxa"/>
              <w:bottom w:w="80" w:type="dxa"/>
              <w:right w:w="80" w:type="dxa"/>
            </w:tcMar>
          </w:tcPr>
          <w:p>
            <w:pPr>
              <w:bidi w:val="1"/>
              <w:jc w:val="center"/>
            </w:pPr>
            <w:r>
              <w:rPr>
                <w:sz w:val="18"/>
                <w:rFonts w:cs="B Lotus" w:hAnsi="Times New Roman" w:ascii="Times New Roman"/>
              </w:rPr>
              <w:t>متوسط (سرمایه‌بر)</w:t>
            </w:r>
          </w:p>
        </w:tc>
      </w:tr>
      <w:tr>
        <w:trPr/>
        <w:tc>
          <w:tcPr>
            <w:tcW w:type="dxa" w:w="1360"/>
            <w:vAlign w:val="center"/>
            <w:tcMar>
              <w:top w:w="80" w:type="dxa"/>
              <w:left w:w="80" w:type="dxa"/>
              <w:bottom w:w="80" w:type="dxa"/>
              <w:right w:w="80" w:type="dxa"/>
            </w:tcMar>
          </w:tcPr>
          <w:p>
            <w:pPr>
              <w:bidi w:val="1"/>
              <w:jc w:val="center"/>
            </w:pPr>
            <w:r>
              <w:rPr>
                <w:sz w:val="18"/>
                <w:rFonts w:cs="B Lotus" w:hAnsi="Times New Roman" w:ascii="Times New Roman"/>
              </w:rPr>
              <w:t>۴. لایه‌ی اقلیمی در مناقصه</w:t>
            </w:r>
          </w:p>
        </w:tc>
        <w:tc>
          <w:tcPr>
            <w:tcW w:type="dxa" w:w="1360"/>
            <w:vAlign w:val="center"/>
            <w:tcMar>
              <w:top w:w="80" w:type="dxa"/>
              <w:left w:w="80" w:type="dxa"/>
              <w:bottom w:w="80" w:type="dxa"/>
              <w:right w:w="80" w:type="dxa"/>
            </w:tcMar>
          </w:tcPr>
          <w:p>
            <w:pPr>
              <w:bidi w:val="1"/>
              <w:jc w:val="center"/>
            </w:pPr>
            <w:r>
              <w:rPr>
                <w:sz w:val="18"/>
                <w:rFonts w:cs="B Lotus" w:hAnsi="Times New Roman" w:ascii="Times New Roman"/>
              </w:rPr>
              <w:t>سازمان محیط زیست + وزارت نفت</w:t>
            </w:r>
          </w:p>
        </w:tc>
        <w:tc>
          <w:tcPr>
            <w:tcW w:type="dxa" w:w="1360"/>
            <w:vAlign w:val="center"/>
            <w:tcMar>
              <w:top w:w="80" w:type="dxa"/>
              <w:left w:w="80" w:type="dxa"/>
              <w:bottom w:w="80" w:type="dxa"/>
              <w:right w:w="80" w:type="dxa"/>
            </w:tcMar>
          </w:tcPr>
          <w:p>
            <w:pPr>
              <w:bidi w:val="1"/>
              <w:jc w:val="center"/>
            </w:pPr>
            <w:r>
              <w:rPr>
                <w:sz w:val="18"/>
                <w:rFonts w:cs="B Lotus" w:hAnsi="Times New Roman" w:ascii="Times New Roman"/>
              </w:rPr>
              <w:t>۶ ماه</w:t>
            </w:r>
          </w:p>
        </w:tc>
        <w:tc>
          <w:tcPr>
            <w:tcW w:type="dxa" w:w="1360"/>
            <w:vAlign w:val="center"/>
            <w:tcMar>
              <w:top w:w="80" w:type="dxa"/>
              <w:left w:w="80" w:type="dxa"/>
              <w:bottom w:w="80" w:type="dxa"/>
              <w:right w:w="80" w:type="dxa"/>
            </w:tcMar>
          </w:tcPr>
          <w:p>
            <w:pPr>
              <w:bidi w:val="1"/>
              <w:jc w:val="center"/>
            </w:pPr>
            <w:r>
              <w:rPr>
                <w:sz w:val="18"/>
                <w:rFonts w:cs="B Lotus" w:hAnsi="Times New Roman" w:ascii="Times New Roman"/>
              </w:rPr>
              <w:t>سهم مناقصه‌های واجد معیار کربن</w:t>
            </w:r>
          </w:p>
        </w:tc>
        <w:tc>
          <w:tcPr>
            <w:tcW w:type="dxa" w:w="1360"/>
            <w:vAlign w:val="center"/>
            <w:tcMar>
              <w:top w:w="80" w:type="dxa"/>
              <w:left w:w="80" w:type="dxa"/>
              <w:bottom w:w="80" w:type="dxa"/>
              <w:right w:w="80" w:type="dxa"/>
            </w:tcMar>
          </w:tcPr>
          <w:p>
            <w:pPr>
              <w:bidi w:val="1"/>
              <w:jc w:val="center"/>
            </w:pPr>
            <w:r>
              <w:rPr>
                <w:sz w:val="18"/>
                <w:rFonts w:cs="B Lotus" w:hAnsi="Times New Roman" w:ascii="Times New Roman"/>
              </w:rPr>
              <w:t>کم (معیار)</w:t>
            </w:r>
          </w:p>
        </w:tc>
      </w:tr>
    </w:tbl>
    <w:p>
      <w:r>
        <w:br/>
      </w:r>
    </w:p>
    <w:p>
      <w:pPr>
        <w:pStyle w:val="a0"/>
        <w:bidi w:val="1"/>
        <w:jc w:val="center"/>
        <w:spacing w:before="40" w:after="120" w:line="200" w:lineRule="auto"/>
      </w:pPr>
      <w:r>
        <w:rPr>
          <w:i w:val="0"/>
        </w:rPr>
        <w:t>مأخذ: طراحی پژوهشگران بر پایه‌ی یافته‌های بخش تحلیل و بحث و چارچوب‌های حقوقی استنادشده. وابستگی توالی: بسته‌های ۲ و ۴ داده‌ی خود را از بسته‌ی ۱ می‌گیرند.</w:t>
      </w:r>
    </w:p>
    <w:p>
      <w:pPr>
        <w:pBdr>
          <w:bottom w:val="single" w:sz="4" w:space="1" w:color="B9C4CA"/>
        </w:pBdr>
        <w:spacing w:before="120" w:after="120" w:line="240" w:lineRule="auto"/>
      </w:pPr>
      <w:r/>
    </w:p>
    <w:p>
      <w:pPr>
        <w:pBdr>
          <w:bottom w:val="single" w:sz="4" w:space="1" w:color="B9C4CA"/>
        </w:pBdr>
        <w:spacing w:before="120" w:after="120" w:line="240" w:lineRule="auto"/>
      </w:pPr>
      <w:r/>
    </w:p>
    <w:p>
      <w:pPr>
        <w:pStyle w:val="a3"/>
        <w:bidi w:val="1"/>
        <w:jc w:val="both"/>
        <w:spacing w:before="240" w:after="120" w:line="276" w:lineRule="auto"/>
      </w:pPr>
      <w:r>
        <w:t>سپاسگزاری</w:t>
      </w:r>
    </w:p>
    <w:p>
      <w:pPr>
        <w:pStyle w:val="a"/>
        <w:bidi w:val="1"/>
        <w:jc w:val="both"/>
        <w:spacing w:before="60" w:after="60" w:line="259" w:lineRule="auto"/>
      </w:pPr>
      <w:r>
        <w:t>⟦یک پاراگراف کوتاه برای تقدیر از حامیان مادی و معنوی پژوهش — نمونه: «نویسندگان از ⟦نام نهاد/شخص⟧ برای ⟦نوع حمایت⟧ سپاسگزاری می‌کنند.»⟧</w:t>
      </w:r>
    </w:p>
    <w:p>
      <w:pPr>
        <w:pBdr>
          <w:bottom w:val="single" w:sz="4" w:space="1" w:color="B9C4CA"/>
        </w:pBdr>
        <w:spacing w:before="120" w:after="120" w:line="240" w:lineRule="auto"/>
      </w:pPr>
      <w:r/>
    </w:p>
    <w:p>
      <w:pPr>
        <w:pStyle w:val="a3"/>
        <w:bidi w:val="1"/>
        <w:jc w:val="both"/>
        <w:spacing w:before="240" w:after="120" w:line="276" w:lineRule="auto"/>
      </w:pPr>
      <w:r>
        <w:t>استفاده از هوش مصنوعی (Use of AI)</w:t>
      </w:r>
    </w:p>
    <w:p>
      <w:pPr>
        <w:pStyle w:val="a"/>
        <w:bidi w:val="1"/>
        <w:jc w:val="both"/>
        <w:spacing w:before="60" w:after="60" w:line="259" w:lineRule="auto"/>
      </w:pPr>
      <w:r>
        <w:t xml:space="preserve">ابزار هوش مصنوعی </w:t>
      </w:r>
      <w:r>
        <w:rPr>
          <w:b/>
        </w:rPr>
        <w:t>ChatGPT</w:t>
      </w:r>
      <w:r>
        <w:t xml:space="preserve"> صرفاً برای بهبود خوانایی، ویرایش زبانی و ترجمه‌ی چکیده و مقدمه به کار رفته است. هیچ‌یک از شکل‌ها، جدول‌ها، تحلیل‌ها، تفسیر داده‌ها، تولید جدول داده، و منابع با ابزار هوش مصنوعی ساخته نشده است. صحت محتوا و اصالت متن، مسئولیت کامل نویسندگان است.</w:t>
      </w:r>
    </w:p>
    <w:p>
      <w:pPr>
        <w:pBdr>
          <w:bottom w:val="single" w:sz="4" w:space="1" w:color="B9C4CA"/>
        </w:pBdr>
        <w:spacing w:before="120" w:after="120" w:line="240" w:lineRule="auto"/>
      </w:pPr>
      <w:r/>
    </w:p>
    <w:p>
      <w:pPr>
        <w:pStyle w:val="a3"/>
        <w:bidi w:val="1"/>
        <w:jc w:val="both"/>
        <w:spacing w:before="240" w:after="120" w:line="276" w:lineRule="auto"/>
      </w:pPr>
      <w:r>
        <w:t>تعارض منافع</w:t>
      </w:r>
    </w:p>
    <w:p>
      <w:pPr>
        <w:pStyle w:val="a"/>
        <w:bidi w:val="1"/>
        <w:jc w:val="both"/>
        <w:spacing w:before="60" w:after="60" w:line="259" w:lineRule="auto"/>
      </w:pPr>
      <w:r>
        <w:t>تعارض منافعی بین نویسندگان و این پژوهش وجود ندارد.</w:t>
      </w:r>
    </w:p>
    <w:p>
      <w:pPr>
        <w:pBdr>
          <w:bottom w:val="single" w:sz="4" w:space="1" w:color="B9C4CA"/>
        </w:pBdr>
        <w:spacing w:before="120" w:after="120" w:line="240" w:lineRule="auto"/>
      </w:pPr>
      <w:r/>
    </w:p>
    <w:p>
      <w:pPr>
        <w:pStyle w:val="Heading1"/>
        <w:jc w:val="left"/>
        <w:spacing w:before="240" w:after="120" w:line="276" w:lineRule="auto"/>
      </w:pPr>
      <w:r>
        <w:rPr>
          <w:rFonts w:ascii="Times New Roman" w:hAnsi="Times New Roman"/>
        </w:rPr>
        <w:t>ORCID</w:t>
      </w:r>
    </w:p>
    <w:tbl>
      <w:tblPr>
        <w:tblStyle w:val="TableGrid"/>
        <w:tblW w:type="auto" w:w="0"/>
        <w:jc w:val="center"/>
        <w:tblLayout w:type="autofit"/>
        <w:tblLook w:firstColumn="1" w:firstRow="1" w:lastColumn="0" w:lastRow="0" w:noHBand="0" w:noVBand="1" w:val="04A0"/>
      </w:tblPr>
      <w:tblGrid>
        <w:gridCol w:w="3401"/>
        <w:gridCol w:w="3401"/>
      </w:tblGrid>
      <w:tr>
        <w:trPr/>
        <w:tc>
          <w:tcPr>
            <w:tcW w:type="dxa" w:w="3401"/>
            <w:vAlign w:val="center"/>
            <w:shd w:val="clear" w:color="auto" w:fill="EEF4F7"/>
            <w:tcMar>
              <w:top w:w="80" w:type="dxa"/>
              <w:left w:w="80" w:type="dxa"/>
              <w:bottom w:w="80" w:type="dxa"/>
              <w:right w:w="80" w:type="dxa"/>
            </w:tcMar>
          </w:tcPr>
          <w:p>
            <w:pPr>
              <w:bidi w:val="1"/>
              <w:jc w:val="center"/>
            </w:pPr>
            <w:r>
              <w:rPr>
                <w:b/>
                <w:sz w:val="19"/>
                <w:rFonts w:cs="B Lotus" w:hAnsi="Times New Roman" w:ascii="Times New Roman"/>
              </w:rPr>
              <w:t>نویسنده</w:t>
            </w:r>
          </w:p>
        </w:tc>
        <w:tc>
          <w:tcPr>
            <w:tcW w:type="dxa" w:w="3401"/>
            <w:vAlign w:val="center"/>
            <w:shd w:val="clear" w:color="auto" w:fill="EEF4F7"/>
            <w:tcMar>
              <w:top w:w="80" w:type="dxa"/>
              <w:left w:w="80" w:type="dxa"/>
              <w:bottom w:w="80" w:type="dxa"/>
              <w:right w:w="80" w:type="dxa"/>
            </w:tcMar>
          </w:tcPr>
          <w:p>
            <w:pPr>
              <w:jc w:val="center"/>
            </w:pPr>
            <w:r>
              <w:rPr>
                <w:rFonts w:ascii="Times New Roman" w:hAnsi="Times New Roman"/>
                <w:b/>
                <w:sz w:val="19"/>
              </w:rPr>
              <w:t>ORCID</w:t>
            </w:r>
          </w:p>
        </w:tc>
      </w:tr>
      <w:tr>
        <w:trPr/>
        <w:tc>
          <w:tcPr>
            <w:tcW w:type="dxa" w:w="3401"/>
            <w:vAlign w:val="center"/>
            <w:tcMar>
              <w:top w:w="80" w:type="dxa"/>
              <w:left w:w="80" w:type="dxa"/>
              <w:bottom w:w="80" w:type="dxa"/>
              <w:right w:w="80" w:type="dxa"/>
            </w:tcMar>
          </w:tcPr>
          <w:p>
            <w:pPr>
              <w:jc w:val="center"/>
            </w:pPr>
            <w:r>
              <w:rPr>
                <w:rFonts w:ascii="Times New Roman" w:hAnsi="Times New Roman"/>
                <w:sz w:val="18"/>
              </w:rPr>
              <w:t>Ali Eskandaripour</w:t>
            </w:r>
          </w:p>
        </w:tc>
        <w:tc>
          <w:tcPr>
            <w:tcW w:type="dxa" w:w="3401"/>
            <w:vAlign w:val="center"/>
            <w:tcMar>
              <w:top w:w="80" w:type="dxa"/>
              <w:left w:w="80" w:type="dxa"/>
              <w:bottom w:w="80" w:type="dxa"/>
              <w:right w:w="80" w:type="dxa"/>
            </w:tcMar>
          </w:tcPr>
          <w:p>
            <w:pPr>
              <w:jc w:val="center"/>
            </w:pPr>
            <w:r>
              <w:rPr>
                <w:rFonts w:ascii="Times New Roman" w:hAnsi="Times New Roman"/>
                <w:sz w:val="18"/>
              </w:rPr>
              <w:t>https://orcid.org/0000-0001-9550-1972</w:t>
            </w:r>
          </w:p>
        </w:tc>
      </w:tr>
    </w:tbl>
    <w:p>
      <w:r>
        <w:br/>
      </w:r>
    </w:p>
    <w:p>
      <w:pPr>
        <w:pBdr>
          <w:bottom w:val="single" w:sz="4" w:space="1" w:color="B9C4CA"/>
        </w:pBdr>
        <w:spacing w:before="120" w:after="120" w:line="240" w:lineRule="auto"/>
      </w:pPr>
      <w:r/>
    </w:p>
    <w:p>
      <w:pPr>
        <w:pStyle w:val="a3"/>
        <w:bidi w:val="1"/>
        <w:jc w:val="both"/>
        <w:spacing w:before="240" w:after="120" w:line="276" w:lineRule="auto"/>
      </w:pPr>
      <w:r>
        <w:t>منابع</w:t>
      </w:r>
    </w:p>
    <w:p>
      <w:pPr>
        <w:pStyle w:val="a4"/>
        <w:bidi w:val="1"/>
        <w:jc w:val="both"/>
        <w:ind w:left="567" w:hanging="567"/>
        <w:spacing w:before="40" w:after="40" w:line="240" w:lineRule="auto"/>
      </w:pPr>
      <w:r>
        <w:t xml:space="preserve">احمدیان، مجید، و عباس‌زاده، نصرت‌الله. (۱۳۹۲). برآورد ارزش برق عرضه‌نشده (VoLL) در اثر خاموشی در ایران: رویکرد تولید و فراغت از دست رفته. </w:t>
      </w:r>
      <w:r>
        <w:rPr>
          <w:i/>
        </w:rPr>
        <w:t>سیاست‌گذاری اقتصادی</w:t>
      </w:r>
      <w:r>
        <w:t>، ۵(۹)، ۵۷-۸۰.</w:t>
      </w:r>
    </w:p>
    <w:p>
      <w:pPr>
        <w:pStyle w:val="a4"/>
        <w:bidi w:val="1"/>
        <w:jc w:val="both"/>
        <w:ind w:left="567" w:hanging="567"/>
        <w:spacing w:before="40" w:after="40" w:line="240" w:lineRule="auto"/>
      </w:pPr>
      <w:r>
        <w:t xml:space="preserve">اخبار پتروشیمی (پتروشیمیا). (۱۴۰۵). </w:t>
      </w:r>
      <w:r>
        <w:rPr>
          <w:i/>
        </w:rPr>
        <w:t>جزئیات خسارت جنگ ۱۲ روزه به مبین انرژی؛ بازگشت ۹۰ درصدی تولید برق تا مهر ۱۴۰۵</w:t>
      </w:r>
      <w:r>
        <w:t xml:space="preserve"> (کد خبر ۵۵۶۵۰؛ ۱۷ شهریور ۱۴۰۵). بازیابی از https://petrochemiha.ir</w:t>
      </w:r>
    </w:p>
    <w:p>
      <w:pPr>
        <w:pStyle w:val="a4"/>
        <w:bidi w:val="1"/>
        <w:jc w:val="both"/>
        <w:ind w:left="567" w:hanging="567"/>
        <w:spacing w:before="40" w:after="40" w:line="240" w:lineRule="auto"/>
      </w:pPr>
      <w:r>
        <w:t xml:space="preserve">اقتصادآنلاین (خبرگزاری). (۱۴۰۴). </w:t>
      </w:r>
      <w:r>
        <w:rPr>
          <w:i/>
        </w:rPr>
        <w:t>گزارش نرخ دلار آزاد و حواله در بازار ارز (اسفند ۱۴۰۴)</w:t>
      </w:r>
      <w:r>
        <w:t>. بازیابی از https://www.eghtesadonline.com</w:t>
      </w:r>
    </w:p>
    <w:p>
      <w:pPr>
        <w:pStyle w:val="a4"/>
        <w:bidi w:val="1"/>
        <w:jc w:val="both"/>
        <w:ind w:left="567" w:hanging="567"/>
        <w:spacing w:before="40" w:after="40" w:line="240" w:lineRule="auto"/>
      </w:pPr>
      <w:r>
        <w:t xml:space="preserve">ایسنا (خبرگزاری). (۱۴۰۵). </w:t>
      </w:r>
      <w:r>
        <w:rPr>
          <w:i/>
        </w:rPr>
        <w:t>گزارش نرخ ارز در بازار رسمی و بازار آزاد</w:t>
      </w:r>
      <w:r>
        <w:t>. بازیابی از https://www.isna.ir</w:t>
      </w:r>
    </w:p>
    <w:p>
      <w:pPr>
        <w:pStyle w:val="a4"/>
        <w:bidi w:val="1"/>
        <w:jc w:val="both"/>
        <w:ind w:left="567" w:hanging="567"/>
        <w:spacing w:before="40" w:after="40" w:line="240" w:lineRule="auto"/>
      </w:pPr>
      <w:r>
        <w:t xml:space="preserve">ایلنا (خبرگزاری). (۱۴۰۵). </w:t>
      </w:r>
      <w:r>
        <w:rPr>
          <w:i/>
        </w:rPr>
        <w:t>گزارش مجمع عمومی عادی سالیانه فولاد مبارکه اصفهان (۱۱ مرداد ۱۴۰۵)</w:t>
      </w:r>
      <w:r>
        <w:t>. بازیابی از https://www.ilna.ir</w:t>
      </w:r>
    </w:p>
    <w:p>
      <w:pPr>
        <w:pStyle w:val="a4"/>
        <w:bidi w:val="1"/>
        <w:jc w:val="both"/>
        <w:ind w:left="567" w:hanging="567"/>
        <w:spacing w:before="40" w:after="40" w:line="240" w:lineRule="auto"/>
      </w:pPr>
      <w:r>
        <w:t xml:space="preserve">بورس‌پرس (خبرگزاری). (۱۴۰۵). </w:t>
      </w:r>
      <w:r>
        <w:rPr>
          <w:i/>
        </w:rPr>
        <w:t>توضیح «فارس» درباره بدهی شرکت نفت و هزینه‌ی بازسازی «بفجر و مبین»</w:t>
      </w:r>
      <w:r>
        <w:t xml:space="preserve"> (کد خبر ۲۴۲۵۷۱؛ ۲۵ شهریور ۱۴۰۵). بازیابی از https://boursepress.ir/news/242571</w:t>
      </w:r>
    </w:p>
    <w:p>
      <w:pPr>
        <w:pStyle w:val="a4"/>
        <w:bidi w:val="1"/>
        <w:jc w:val="both"/>
        <w:ind w:left="567" w:hanging="567"/>
        <w:spacing w:before="40" w:after="40" w:line="240" w:lineRule="auto"/>
      </w:pPr>
      <w:r>
        <w:t xml:space="preserve">میمتالز (خبرگزاری). (۱۴۰۵). </w:t>
      </w:r>
      <w:r>
        <w:rPr>
          <w:i/>
        </w:rPr>
        <w:t>بازگشت سریع فولاد مبارکه فراتر از برآوردها بود</w:t>
      </w:r>
      <w:r>
        <w:t>. بازیابی از https://felezatkhavarmianeh.ir/fa/news/403825</w:t>
      </w:r>
    </w:p>
    <w:p>
      <w:pPr>
        <w:pStyle w:val="a4"/>
        <w:bidi w:val="1"/>
        <w:jc w:val="both"/>
        <w:ind w:left="567" w:hanging="567"/>
        <w:spacing w:before="40" w:after="40" w:line="240" w:lineRule="auto"/>
      </w:pPr>
      <w:r>
        <w:t xml:space="preserve">تجارت‌نیوز (خبرگزاری). (۱۴۰۵). </w:t>
      </w:r>
      <w:r>
        <w:rPr>
          <w:i/>
        </w:rPr>
        <w:t>قیمت دلار در بازار آزاد (شهریور ۱۴۰۵)</w:t>
      </w:r>
      <w:r>
        <w:t>. بازیابی از https://tejaratnews.com</w:t>
      </w:r>
    </w:p>
    <w:p>
      <w:pPr>
        <w:pStyle w:val="a4"/>
        <w:bidi w:val="1"/>
        <w:jc w:val="both"/>
        <w:ind w:left="567" w:hanging="567"/>
        <w:spacing w:before="40" w:after="40" w:line="240" w:lineRule="auto"/>
      </w:pPr>
      <w:r>
        <w:t xml:space="preserve">دنیای اقتصاد (روزنامه). (۱۴۰۵). </w:t>
      </w:r>
      <w:r>
        <w:rPr>
          <w:i/>
        </w:rPr>
        <w:t>تحلیل حقوقی الزامات افشای خسارت جنگ در چارچوب دستورالعمل اجرایی افشای اطلاعات</w:t>
      </w:r>
      <w:r>
        <w:t>. بازیابی از https://donya-e-eqtesad.com</w:t>
      </w:r>
    </w:p>
    <w:p>
      <w:pPr>
        <w:pStyle w:val="a4"/>
        <w:bidi w:val="1"/>
        <w:jc w:val="both"/>
        <w:ind w:left="567" w:hanging="567"/>
        <w:spacing w:before="40" w:after="40" w:line="240" w:lineRule="auto"/>
      </w:pPr>
      <w:r>
        <w:t xml:space="preserve">سازمان بورس و اوراق بهادار (کدال). (۱۴۰۵a). </w:t>
      </w:r>
      <w:r>
        <w:rPr>
          <w:i/>
        </w:rPr>
        <w:t>افشای اطلاعات بااهمیت: خسارت جنگ و برنامه‌ی بازسازی شرکت مبین‌انرژی خلیج فارس</w:t>
      </w:r>
      <w:r>
        <w:t>. بازیابی از https://codal.ir</w:t>
      </w:r>
    </w:p>
    <w:p>
      <w:pPr>
        <w:pStyle w:val="a4"/>
        <w:bidi w:val="1"/>
        <w:jc w:val="both"/>
        <w:ind w:left="567" w:hanging="567"/>
        <w:spacing w:before="40" w:after="40" w:line="240" w:lineRule="auto"/>
      </w:pPr>
      <w:r>
        <w:t xml:space="preserve">سازمان بورس و اوراق بهادار (کدال). (۱۴۰۵b). </w:t>
      </w:r>
      <w:r>
        <w:rPr>
          <w:i/>
        </w:rPr>
        <w:t>اطلاعات و صورت‌های مالی میان‌دوره‌ای و گزارش تفسیری مدیریت دوره‌ی سه‌ماهه منتهی به ۳۱ خرداد ۱۴۰۵ — مبین‌انرژی خلیج فارس</w:t>
      </w:r>
      <w:r>
        <w:t xml:space="preserve"> (اطلاعیه‌ی شماره پیگیری ۱۵۶۲۱۵۸ و پیوست‌ها). بازیابی از https://codal.ir</w:t>
      </w:r>
    </w:p>
    <w:p>
      <w:pPr>
        <w:pStyle w:val="a4"/>
        <w:bidi w:val="1"/>
        <w:jc w:val="both"/>
        <w:ind w:left="567" w:hanging="567"/>
        <w:spacing w:before="40" w:after="40" w:line="240" w:lineRule="auto"/>
      </w:pPr>
      <w:r>
        <w:t xml:space="preserve">شرق (روزنامه). (۱۴۰۴). </w:t>
      </w:r>
      <w:r>
        <w:rPr>
          <w:i/>
        </w:rPr>
        <w:t>نرخ فروش و خرید حواله‌ی دلار در مرکز مبادله</w:t>
      </w:r>
      <w:r>
        <w:t>. بازیابی از https://www.sharghdaily.com</w:t>
      </w:r>
    </w:p>
    <w:p>
      <w:pPr>
        <w:pStyle w:val="a4"/>
        <w:bidi w:val="1"/>
        <w:jc w:val="both"/>
        <w:ind w:left="567" w:hanging="567"/>
        <w:spacing w:before="40" w:after="40" w:line="240" w:lineRule="auto"/>
      </w:pPr>
      <w:r>
        <w:t xml:space="preserve">شرکت توانیر. (۱۴۰۵). </w:t>
      </w:r>
      <w:r>
        <w:rPr>
          <w:i/>
        </w:rPr>
        <w:t>آمار تفصیلی صنعت برق ایران</w:t>
      </w:r>
      <w:r>
        <w:t>. بازیابی از https://news.tavanir.org.ir</w:t>
      </w:r>
    </w:p>
    <w:p>
      <w:pPr>
        <w:pStyle w:val="a4"/>
        <w:bidi w:val="1"/>
        <w:jc w:val="both"/>
        <w:ind w:left="567" w:hanging="567"/>
        <w:spacing w:before="40" w:after="40" w:line="240" w:lineRule="auto"/>
      </w:pPr>
      <w:r>
        <w:t xml:space="preserve">شرکت ملی نفت ایران (شانا). (۱۴۰۵). </w:t>
      </w:r>
      <w:r>
        <w:rPr>
          <w:i/>
        </w:rPr>
        <w:t>گزارش‌های بازسازی پالایشگاه‌های آسیب‌دیده‌ی عسلویه و برنامه‌ی بازسازی وزارت نفت</w:t>
      </w:r>
      <w:r>
        <w:t>. بازیابی از https://www.shana.ir</w:t>
      </w:r>
    </w:p>
    <w:p>
      <w:pPr>
        <w:pStyle w:val="a4"/>
        <w:bidi w:val="1"/>
        <w:jc w:val="both"/>
        <w:ind w:left="567" w:hanging="567"/>
        <w:spacing w:before="40" w:after="40" w:line="240" w:lineRule="auto"/>
      </w:pPr>
      <w:r>
        <w:t xml:space="preserve">شانا (خبرگزاری). (۱۴۰۵). </w:t>
      </w:r>
      <w:r>
        <w:rPr>
          <w:i/>
        </w:rPr>
        <w:t>زمان تعمیرات اساسی پالایشگاه فجرجم ۴۳ درصد کاهش یافت</w:t>
      </w:r>
      <w:r>
        <w:t xml:space="preserve"> (کد مطلب ۲۶۴۵۴۰۶). بازیابی از https://www.shana.ir/news/2645406</w:t>
      </w:r>
    </w:p>
    <w:p>
      <w:pPr>
        <w:pStyle w:val="a4"/>
        <w:bidi w:val="1"/>
        <w:jc w:val="both"/>
        <w:ind w:left="567" w:hanging="567"/>
        <w:spacing w:before="40" w:after="40" w:line="240" w:lineRule="auto"/>
      </w:pPr>
      <w:r>
        <w:t xml:space="preserve">سازمان حفاظت محیط‌زیست. (۱۴۰۵). </w:t>
      </w:r>
      <w:r>
        <w:rPr>
          <w:i/>
        </w:rPr>
        <w:t>گزارش خسارات محیط‌زیستی جنگ (منتشرشده فروردین ۱۴۰۵؛ بازنشر: خبرگزاری برنا)</w:t>
      </w:r>
      <w:r>
        <w:t>. بازیابی از https://borna.news/fa/news/2329626</w:t>
      </w:r>
    </w:p>
    <w:p>
      <w:pPr>
        <w:pStyle w:val="a4"/>
        <w:bidi w:val="1"/>
        <w:jc w:val="both"/>
        <w:ind w:left="567" w:hanging="567"/>
        <w:spacing w:before="40" w:after="40" w:line="240" w:lineRule="auto"/>
      </w:pPr>
      <w:r>
        <w:t xml:space="preserve">شریفی، نرگس، و شمس‌اللهی، رضا. (۱۴۰۴). تحلیلی بر اقتصاد محیط زیست ایران پس از جنگ. </w:t>
      </w:r>
      <w:r>
        <w:rPr>
          <w:i/>
        </w:rPr>
        <w:t>فصلنامه اقتصاد محیط‌زیست و منابع طبیعی</w:t>
      </w:r>
      <w:r>
        <w:t>، ۵(۱۴)، ۱۵-۳۲. doi: 10.22054/eenr.2026.93133.234</w:t>
      </w:r>
    </w:p>
    <w:p>
      <w:pPr>
        <w:pStyle w:val="a4"/>
        <w:bidi w:val="1"/>
        <w:jc w:val="both"/>
        <w:ind w:left="567" w:hanging="567"/>
        <w:spacing w:before="40" w:after="40" w:line="240" w:lineRule="auto"/>
      </w:pPr>
      <w:r>
        <w:t xml:space="preserve">طاوسی، محمد، اسماعیلی، فریبا، و صادقی، سید حمیدرضا. (۱۴۰۴). خسارت وارد بر حوزه‌های آبخیز و منابع طبیعی در جنگ رمضان و ارایه‌ی الگوی بازسازی سبز، مبتنی بر ارزش‌گذاری بدهی بوم‌شناختی. </w:t>
      </w:r>
      <w:r>
        <w:rPr>
          <w:i/>
        </w:rPr>
        <w:t>فصلنامه اقتصاد محیط‌زیست و منابع طبیعی</w:t>
      </w:r>
      <w:r>
        <w:t>، ۵(۱۴)، ۳۳-۶۰. doi: 10.22054/eenr.2026.92647.233</w:t>
      </w:r>
    </w:p>
    <w:p>
      <w:pPr>
        <w:pStyle w:val="a4"/>
        <w:bidi w:val="1"/>
        <w:jc w:val="both"/>
        <w:ind w:left="567" w:hanging="567"/>
        <w:spacing w:before="40" w:after="40" w:line="240" w:lineRule="auto"/>
      </w:pPr>
      <w:r>
        <w:t xml:space="preserve">عابدی، سپیده. (۱۴۰۴). چارچوب سیاستی گذار به انرژی‌های تجدیدپذیر برای تحقق تاب‌آوری انرژی در شرایط بحران. </w:t>
      </w:r>
      <w:r>
        <w:rPr>
          <w:i/>
        </w:rPr>
        <w:t>فصلنامه اقتصاد محیط‌زیست و منابع طبیعی</w:t>
      </w:r>
      <w:r>
        <w:t>، ۵(۱۴)، ۶۱-۸۳. doi: 10.22054/eenr.2026.95281.243</w:t>
      </w:r>
    </w:p>
    <w:p>
      <w:pPr>
        <w:pBdr>
          <w:bottom w:val="single" w:sz="4" w:space="1" w:color="B9C4CA"/>
        </w:pBdr>
        <w:spacing w:before="120" w:after="120" w:line="240" w:lineRule="auto"/>
      </w:pPr>
      <w:r/>
    </w:p>
    <w:p>
      <w:pPr>
        <w:pStyle w:val="Heading1"/>
        <w:jc w:val="left"/>
        <w:spacing w:before="240" w:after="120" w:line="276" w:lineRule="auto"/>
      </w:pPr>
      <w:r>
        <w:rPr>
          <w:rFonts w:ascii="Times New Roman" w:hAnsi="Times New Roman"/>
        </w:rPr>
        <w:t>References</w:t>
      </w:r>
    </w:p>
    <w:p>
      <w:pPr>
        <w:pStyle w:val="a5"/>
        <w:jc w:val="left"/>
        <w:ind w:left="567" w:hanging="567"/>
        <w:spacing w:before="40" w:after="40" w:line="240" w:lineRule="auto"/>
      </w:pPr>
      <w:r>
        <w:rPr>
          <w:rFonts w:ascii="Times New Roman" w:hAnsi="Times New Roman"/>
        </w:rPr>
        <w:t xml:space="preserve">Abedi, S. (2026). A policy framework for renewable energy transition towards energy resilience in times of crisis. </w:t>
      </w:r>
      <w:r>
        <w:rPr>
          <w:rFonts w:ascii="Times New Roman" w:hAnsi="Times New Roman"/>
          <w:i/>
        </w:rPr>
        <w:t>Journal of Environmental and Natural Resource Economics</w:t>
      </w:r>
      <w:r>
        <w:rPr>
          <w:rFonts w:ascii="Times New Roman" w:hAnsi="Times New Roman"/>
        </w:rPr>
        <w:t>, 5(14), 61-83. [In Persian]</w:t>
      </w:r>
    </w:p>
    <w:p>
      <w:pPr>
        <w:pStyle w:val="a5"/>
        <w:jc w:val="left"/>
        <w:ind w:left="567" w:hanging="567"/>
        <w:spacing w:before="40" w:after="40" w:line="240" w:lineRule="auto"/>
      </w:pPr>
      <w:r>
        <w:rPr>
          <w:rFonts w:ascii="Times New Roman" w:hAnsi="Times New Roman"/>
        </w:rPr>
        <w:t xml:space="preserve">Ahmadian, M., &amp; Abbaszadeh, N. (2013). The value of lost load (VoLL) in Iran: Lost production and lost leisure. </w:t>
      </w:r>
      <w:r>
        <w:rPr>
          <w:rFonts w:ascii="Times New Roman" w:hAnsi="Times New Roman"/>
          <w:i/>
        </w:rPr>
        <w:t>Economic Policy</w:t>
      </w:r>
      <w:r>
        <w:rPr>
          <w:rFonts w:ascii="Times New Roman" w:hAnsi="Times New Roman"/>
        </w:rPr>
        <w:t>, 5(9), 57-80. [In Persian]</w:t>
      </w:r>
    </w:p>
    <w:p>
      <w:pPr>
        <w:pStyle w:val="a5"/>
        <w:jc w:val="left"/>
        <w:ind w:left="567" w:hanging="567"/>
        <w:spacing w:before="40" w:after="40" w:line="240" w:lineRule="auto"/>
      </w:pPr>
      <w:r>
        <w:rPr>
          <w:rFonts w:ascii="Times New Roman" w:hAnsi="Times New Roman"/>
        </w:rPr>
        <w:t xml:space="preserve">Boursepress (News Agency). (2026). </w:t>
      </w:r>
      <w:r>
        <w:rPr>
          <w:rFonts w:ascii="Times New Roman" w:hAnsi="Times New Roman"/>
          <w:i/>
        </w:rPr>
        <w:t>"Fars" clarification on the NIOC payable and the reconstruction cost of "Bfajr" and "Mobin"</w:t>
      </w:r>
      <w:r>
        <w:rPr>
          <w:rFonts w:ascii="Times New Roman" w:hAnsi="Times New Roman"/>
        </w:rPr>
        <w:t xml:space="preserve"> (News code 242571; 16 September 2026). Retrieved from https://boursepress.ir/news/242571 [In Persian]</w:t>
      </w:r>
    </w:p>
    <w:p>
      <w:pPr>
        <w:pStyle w:val="a5"/>
        <w:jc w:val="left"/>
        <w:ind w:left="567" w:hanging="567"/>
        <w:spacing w:before="40" w:after="40" w:line="240" w:lineRule="auto"/>
      </w:pPr>
      <w:r>
        <w:rPr>
          <w:rFonts w:ascii="Times New Roman" w:hAnsi="Times New Roman"/>
        </w:rPr>
        <w:t xml:space="preserve">Braun, V., &amp; Clarke, V. (2006). Using thematic analysis in psychology. </w:t>
      </w:r>
      <w:r>
        <w:rPr>
          <w:rFonts w:ascii="Times New Roman" w:hAnsi="Times New Roman"/>
          <w:i/>
        </w:rPr>
        <w:t>Qualitative Research in Psychology</w:t>
      </w:r>
      <w:r>
        <w:rPr>
          <w:rFonts w:ascii="Times New Roman" w:hAnsi="Times New Roman"/>
        </w:rPr>
        <w:t>, 3(2), 77-101.</w:t>
      </w:r>
    </w:p>
    <w:p>
      <w:pPr>
        <w:pStyle w:val="a5"/>
        <w:jc w:val="left"/>
        <w:ind w:left="567" w:hanging="567"/>
        <w:spacing w:before="40" w:after="40" w:line="240" w:lineRule="auto"/>
      </w:pPr>
      <w:r>
        <w:rPr>
          <w:rFonts w:ascii="Times New Roman" w:hAnsi="Times New Roman"/>
        </w:rPr>
        <w:t xml:space="preserve">Bruneau, M., Chang, S. E., Eguchi, R. T., Lee, G. C., O'Rourke, T. D., Reinhorn, A. M., … von Winterfeldt, D. (2003). A framework to quantitatively assess and enhance the seismic resilience of communities. </w:t>
      </w:r>
      <w:r>
        <w:rPr>
          <w:rFonts w:ascii="Times New Roman" w:hAnsi="Times New Roman"/>
          <w:i/>
        </w:rPr>
        <w:t>Earthquake Spectra</w:t>
      </w:r>
      <w:r>
        <w:rPr>
          <w:rFonts w:ascii="Times New Roman" w:hAnsi="Times New Roman"/>
        </w:rPr>
        <w:t>, 19(4), 733-752.</w:t>
      </w:r>
    </w:p>
    <w:p>
      <w:pPr>
        <w:pStyle w:val="a5"/>
        <w:jc w:val="left"/>
        <w:ind w:left="567" w:hanging="567"/>
        <w:spacing w:before="40" w:after="40" w:line="240" w:lineRule="auto"/>
      </w:pPr>
      <w:r>
        <w:rPr>
          <w:rFonts w:ascii="Times New Roman" w:hAnsi="Times New Roman"/>
        </w:rPr>
        <w:t xml:space="preserve">Donya-e-Eqtesad (Newspaper). (2026). </w:t>
      </w:r>
      <w:r>
        <w:rPr>
          <w:rFonts w:ascii="Times New Roman" w:hAnsi="Times New Roman"/>
          <w:i/>
        </w:rPr>
        <w:t>Legal analysis of war-damage disclosure obligations under the Executive Instruction on Information Disclosure</w:t>
      </w:r>
      <w:r>
        <w:rPr>
          <w:rFonts w:ascii="Times New Roman" w:hAnsi="Times New Roman"/>
        </w:rPr>
        <w:t>. Retrieved from https://donya-e-eqtesad.com [In Persian]</w:t>
      </w:r>
    </w:p>
    <w:p>
      <w:pPr>
        <w:pStyle w:val="a5"/>
        <w:jc w:val="left"/>
        <w:ind w:left="567" w:hanging="567"/>
        <w:spacing w:before="40" w:after="40" w:line="240" w:lineRule="auto"/>
      </w:pPr>
      <w:r>
        <w:rPr>
          <w:rFonts w:ascii="Times New Roman" w:hAnsi="Times New Roman"/>
        </w:rPr>
        <w:t xml:space="preserve">Eghtesad Online (News Agency). (2026). </w:t>
      </w:r>
      <w:r>
        <w:rPr>
          <w:rFonts w:ascii="Times New Roman" w:hAnsi="Times New Roman"/>
          <w:i/>
        </w:rPr>
        <w:t>Report on free-market and remittance dollar rates (Esfand 1404)</w:t>
      </w:r>
      <w:r>
        <w:rPr>
          <w:rFonts w:ascii="Times New Roman" w:hAnsi="Times New Roman"/>
        </w:rPr>
        <w:t>. Retrieved from https://www.eghtesadonline.com [In Persian]</w:t>
      </w:r>
    </w:p>
    <w:p>
      <w:pPr>
        <w:pStyle w:val="a5"/>
        <w:jc w:val="left"/>
        <w:ind w:left="567" w:hanging="567"/>
        <w:spacing w:before="40" w:after="40" w:line="240" w:lineRule="auto"/>
      </w:pPr>
      <w:r>
        <w:rPr>
          <w:rFonts w:ascii="Times New Roman" w:hAnsi="Times New Roman"/>
        </w:rPr>
        <w:t xml:space="preserve">Energy and Environmental Economics (E3). (2026). </w:t>
      </w:r>
      <w:r>
        <w:rPr>
          <w:rFonts w:ascii="Times New Roman" w:hAnsi="Times New Roman"/>
          <w:i/>
        </w:rPr>
        <w:t>RECOST public report, Q1 2026</w:t>
      </w:r>
      <w:r>
        <w:rPr>
          <w:rFonts w:ascii="Times New Roman" w:hAnsi="Times New Roman"/>
        </w:rPr>
        <w:t xml:space="preserve"> (gas-plant capex via Halcyon tracker). San Francisco: E3. Retrieved from https://www.ethree.com/wp-content/uploads/‎2026/01‎/2026.01_E3-RECOST_Public.pdf</w:t>
      </w:r>
    </w:p>
    <w:p>
      <w:pPr>
        <w:pStyle w:val="a5"/>
        <w:jc w:val="left"/>
        <w:ind w:left="567" w:hanging="567"/>
        <w:spacing w:before="40" w:after="40" w:line="240" w:lineRule="auto"/>
      </w:pPr>
      <w:r>
        <w:rPr>
          <w:rFonts w:ascii="Times New Roman" w:hAnsi="Times New Roman"/>
        </w:rPr>
        <w:t xml:space="preserve">Iran Department of Environment. (2026). </w:t>
      </w:r>
      <w:r>
        <w:rPr>
          <w:rFonts w:ascii="Times New Roman" w:hAnsi="Times New Roman"/>
          <w:i/>
        </w:rPr>
        <w:t>Report on environmental damages of the Ramadan War</w:t>
      </w:r>
      <w:r>
        <w:rPr>
          <w:rFonts w:ascii="Times New Roman" w:hAnsi="Times New Roman"/>
        </w:rPr>
        <w:t xml:space="preserve"> (published Farvardin 1405; via Borna News Agency). Tehran: DoE. Retrieved from https://borna.news/fa/news/2329626 [In Persian]</w:t>
      </w:r>
    </w:p>
    <w:p>
      <w:pPr>
        <w:pStyle w:val="a5"/>
        <w:jc w:val="left"/>
        <w:ind w:left="567" w:hanging="567"/>
        <w:spacing w:before="40" w:after="40" w:line="240" w:lineRule="auto"/>
      </w:pPr>
      <w:r>
        <w:rPr>
          <w:rFonts w:ascii="Times New Roman" w:hAnsi="Times New Roman"/>
        </w:rPr>
        <w:t xml:space="preserve">Hallegatte, S. (2008). An adaptive regional input–output model and its application to the assessment of the economic cost of Katrina. </w:t>
      </w:r>
      <w:r>
        <w:rPr>
          <w:rFonts w:ascii="Times New Roman" w:hAnsi="Times New Roman"/>
          <w:i/>
        </w:rPr>
        <w:t>Risk Analysis</w:t>
      </w:r>
      <w:r>
        <w:rPr>
          <w:rFonts w:ascii="Times New Roman" w:hAnsi="Times New Roman"/>
        </w:rPr>
        <w:t>, 28(3), 779-799.</w:t>
      </w:r>
    </w:p>
    <w:p>
      <w:pPr>
        <w:pStyle w:val="a5"/>
        <w:jc w:val="left"/>
        <w:ind w:left="567" w:hanging="567"/>
        <w:spacing w:before="40" w:after="40" w:line="240" w:lineRule="auto"/>
      </w:pPr>
      <w:r>
        <w:rPr>
          <w:rFonts w:ascii="Times New Roman" w:hAnsi="Times New Roman"/>
        </w:rPr>
        <w:t xml:space="preserve">ILNA (News Agency). (2026). </w:t>
      </w:r>
      <w:r>
        <w:rPr>
          <w:rFonts w:ascii="Times New Roman" w:hAnsi="Times New Roman"/>
          <w:i/>
        </w:rPr>
        <w:t>Annual general meeting report of Mobarakeh Steel Company (11 Mordad 1405)</w:t>
      </w:r>
      <w:r>
        <w:rPr>
          <w:rFonts w:ascii="Times New Roman" w:hAnsi="Times New Roman"/>
        </w:rPr>
        <w:t>. Retrieved from https://www.ilna.ir [In Persian]</w:t>
      </w:r>
    </w:p>
    <w:p>
      <w:pPr>
        <w:pStyle w:val="a5"/>
        <w:jc w:val="left"/>
        <w:ind w:left="567" w:hanging="567"/>
        <w:spacing w:before="40" w:after="40" w:line="240" w:lineRule="auto"/>
      </w:pPr>
      <w:r>
        <w:rPr>
          <w:rFonts w:ascii="Times New Roman" w:hAnsi="Times New Roman"/>
        </w:rPr>
        <w:t xml:space="preserve">MIMETALS (News Agency). (2026). </w:t>
      </w:r>
      <w:r>
        <w:rPr>
          <w:rFonts w:ascii="Times New Roman" w:hAnsi="Times New Roman"/>
          <w:i/>
        </w:rPr>
        <w:t>Mobarakeh Steel’s fast recovery exceeded initial estimates</w:t>
      </w:r>
      <w:r>
        <w:rPr>
          <w:rFonts w:ascii="Times New Roman" w:hAnsi="Times New Roman"/>
        </w:rPr>
        <w:t>. Retrieved from https://felezatkhavarmianeh.ir/fa/news/403825 [In Persian]</w:t>
      </w:r>
    </w:p>
    <w:p>
      <w:pPr>
        <w:pStyle w:val="a5"/>
        <w:jc w:val="left"/>
        <w:ind w:left="567" w:hanging="567"/>
        <w:spacing w:before="40" w:after="40" w:line="240" w:lineRule="auto"/>
      </w:pPr>
      <w:r>
        <w:rPr>
          <w:rFonts w:ascii="Times New Roman" w:hAnsi="Times New Roman"/>
        </w:rPr>
        <w:t xml:space="preserve">ISNA (News Agency). (2026). </w:t>
      </w:r>
      <w:r>
        <w:rPr>
          <w:rFonts w:ascii="Times New Roman" w:hAnsi="Times New Roman"/>
          <w:i/>
        </w:rPr>
        <w:t>Report on exchange rates in the official and free markets</w:t>
      </w:r>
      <w:r>
        <w:rPr>
          <w:rFonts w:ascii="Times New Roman" w:hAnsi="Times New Roman"/>
        </w:rPr>
        <w:t>. Retrieved from https://www.isna.ir [In Persian]</w:t>
      </w:r>
    </w:p>
    <w:p>
      <w:pPr>
        <w:pStyle w:val="a5"/>
        <w:jc w:val="left"/>
        <w:ind w:left="567" w:hanging="567"/>
        <w:spacing w:before="40" w:after="40" w:line="240" w:lineRule="auto"/>
      </w:pPr>
      <w:r>
        <w:rPr>
          <w:rFonts w:ascii="Times New Roman" w:hAnsi="Times New Roman"/>
        </w:rPr>
        <w:t xml:space="preserve">Kodal (Securities and Exchange Organization). (2026a). </w:t>
      </w:r>
      <w:r>
        <w:rPr>
          <w:rFonts w:ascii="Times New Roman" w:hAnsi="Times New Roman"/>
          <w:i/>
        </w:rPr>
        <w:t>Disclosure of material information: War damage and reconstruction programme of Mobin Energy Gulf</w:t>
      </w:r>
      <w:r>
        <w:rPr>
          <w:rFonts w:ascii="Times New Roman" w:hAnsi="Times New Roman"/>
        </w:rPr>
        <w:t>. Retrieved from https://codal.ir [In Persian]</w:t>
      </w:r>
    </w:p>
    <w:p>
      <w:pPr>
        <w:pStyle w:val="a5"/>
        <w:jc w:val="left"/>
        <w:ind w:left="567" w:hanging="567"/>
        <w:spacing w:before="40" w:after="40" w:line="240" w:lineRule="auto"/>
      </w:pPr>
      <w:r>
        <w:rPr>
          <w:rFonts w:ascii="Times New Roman" w:hAnsi="Times New Roman"/>
        </w:rPr>
        <w:t xml:space="preserve">Kodal (Securities and Exchange Organization). (2026b). </w:t>
      </w:r>
      <w:r>
        <w:rPr>
          <w:rFonts w:ascii="Times New Roman" w:hAnsi="Times New Roman"/>
          <w:i/>
        </w:rPr>
        <w:t>Interim financial information and management commentary for the three-month period ended 31 Khordad 1405 — Mobin Energy Gulf</w:t>
      </w:r>
      <w:r>
        <w:rPr>
          <w:rFonts w:ascii="Times New Roman" w:hAnsi="Times New Roman"/>
        </w:rPr>
        <w:t xml:space="preserve"> (disclosure no. 1562158 and attachments). Retrieved from https://codal.ir [In Persian]</w:t>
      </w:r>
    </w:p>
    <w:p>
      <w:pPr>
        <w:pStyle w:val="a5"/>
        <w:jc w:val="left"/>
        <w:ind w:left="567" w:hanging="567"/>
        <w:spacing w:before="40" w:after="40" w:line="240" w:lineRule="auto"/>
      </w:pPr>
      <w:r>
        <w:rPr>
          <w:rFonts w:ascii="Times New Roman" w:hAnsi="Times New Roman"/>
        </w:rPr>
        <w:t>Regulation (EU) No ‎596/2014‎ of the European Parliament and of the Council on market abuse (Market Abuse Regulation), Art. 17(4). (2014).</w:t>
      </w:r>
    </w:p>
    <w:p>
      <w:pPr>
        <w:pStyle w:val="a5"/>
        <w:jc w:val="left"/>
        <w:ind w:left="567" w:hanging="567"/>
        <w:spacing w:before="40" w:after="40" w:line="240" w:lineRule="auto"/>
      </w:pPr>
      <w:r>
        <w:rPr>
          <w:rFonts w:ascii="Times New Roman" w:hAnsi="Times New Roman"/>
        </w:rPr>
        <w:t>Regulation (EU) ‎2017/1938‎ concerning measures to safeguard the security of gas supply. (2017).</w:t>
      </w:r>
    </w:p>
    <w:p>
      <w:pPr>
        <w:pStyle w:val="a5"/>
        <w:jc w:val="left"/>
        <w:ind w:left="567" w:hanging="567"/>
        <w:spacing w:before="40" w:after="40" w:line="240" w:lineRule="auto"/>
      </w:pPr>
      <w:r>
        <w:rPr>
          <w:rFonts w:ascii="Times New Roman" w:hAnsi="Times New Roman"/>
        </w:rPr>
        <w:t xml:space="preserve">Rinaldi, S. M., Peerenboom, J. P., &amp; Kelly, T. K. (2001). Identifying, understanding, and analyzing critical infrastructure interdependencies. </w:t>
      </w:r>
      <w:r>
        <w:rPr>
          <w:rFonts w:ascii="Times New Roman" w:hAnsi="Times New Roman"/>
          <w:i/>
        </w:rPr>
        <w:t>IEEE Control Systems Magazine</w:t>
      </w:r>
      <w:r>
        <w:rPr>
          <w:rFonts w:ascii="Times New Roman" w:hAnsi="Times New Roman"/>
        </w:rPr>
        <w:t>, 21(6), 11-25.</w:t>
      </w:r>
    </w:p>
    <w:p>
      <w:pPr>
        <w:pStyle w:val="a5"/>
        <w:jc w:val="left"/>
        <w:ind w:left="567" w:hanging="567"/>
        <w:spacing w:before="40" w:after="40" w:line="240" w:lineRule="auto"/>
      </w:pPr>
      <w:r>
        <w:rPr>
          <w:rFonts w:ascii="Times New Roman" w:hAnsi="Times New Roman"/>
        </w:rPr>
        <w:t xml:space="preserve">Rose, A. (2007). Economic resilience to natural and man-made disasters: Multidisciplinary origins and contextual dimensions. </w:t>
      </w:r>
      <w:r>
        <w:rPr>
          <w:rFonts w:ascii="Times New Roman" w:hAnsi="Times New Roman"/>
          <w:i/>
        </w:rPr>
        <w:t>Environmental Hazards</w:t>
      </w:r>
      <w:r>
        <w:rPr>
          <w:rFonts w:ascii="Times New Roman" w:hAnsi="Times New Roman"/>
        </w:rPr>
        <w:t>, 7(4), 383-398.</w:t>
      </w:r>
    </w:p>
    <w:p>
      <w:pPr>
        <w:pStyle w:val="a5"/>
        <w:jc w:val="left"/>
        <w:ind w:left="567" w:hanging="567"/>
        <w:spacing w:before="40" w:after="40" w:line="240" w:lineRule="auto"/>
      </w:pPr>
      <w:r>
        <w:rPr>
          <w:rFonts w:ascii="Times New Roman" w:hAnsi="Times New Roman"/>
        </w:rPr>
        <w:t xml:space="preserve">Rystad Energy. (2026). </w:t>
      </w:r>
      <w:r>
        <w:rPr>
          <w:rFonts w:ascii="Times New Roman" w:hAnsi="Times New Roman"/>
          <w:i/>
        </w:rPr>
        <w:t>Gulf war leaves $58 billion repair bill and a global equipment crunch</w:t>
      </w:r>
      <w:r>
        <w:rPr>
          <w:rFonts w:ascii="Times New Roman" w:hAnsi="Times New Roman"/>
        </w:rPr>
        <w:t>. Oslo: Rystad Energy. Retrieved from https://www.rystadenergy.com/insights/gulf-war-repair-bill-supply-chain-equipment-crunch</w:t>
      </w:r>
    </w:p>
    <w:p>
      <w:pPr>
        <w:pStyle w:val="a5"/>
        <w:jc w:val="left"/>
        <w:ind w:left="567" w:hanging="567"/>
        <w:spacing w:before="40" w:after="40" w:line="240" w:lineRule="auto"/>
      </w:pPr>
      <w:r>
        <w:rPr>
          <w:rFonts w:ascii="Times New Roman" w:hAnsi="Times New Roman"/>
        </w:rPr>
        <w:t xml:space="preserve">Little, I. M. D., &amp; Mirrlees, J. A. (1968). </w:t>
      </w:r>
      <w:r>
        <w:rPr>
          <w:rFonts w:ascii="Times New Roman" w:hAnsi="Times New Roman"/>
          <w:i/>
        </w:rPr>
        <w:t>Manual of industrial project analysis in developing countries</w:t>
      </w:r>
      <w:r>
        <w:rPr>
          <w:rFonts w:ascii="Times New Roman" w:hAnsi="Times New Roman"/>
        </w:rPr>
        <w:t xml:space="preserve"> (Vol. II: Social cost–benefit analysis). Paris: OECD Development Centre.</w:t>
      </w:r>
    </w:p>
    <w:p>
      <w:pPr>
        <w:pStyle w:val="a5"/>
        <w:jc w:val="left"/>
        <w:ind w:left="567" w:hanging="567"/>
        <w:spacing w:before="40" w:after="40" w:line="240" w:lineRule="auto"/>
      </w:pPr>
      <w:r>
        <w:rPr>
          <w:rFonts w:ascii="Times New Roman" w:hAnsi="Times New Roman"/>
        </w:rPr>
        <w:t xml:space="preserve">Petrochemiha (Petrochemical News Agency). (2026). </w:t>
      </w:r>
      <w:r>
        <w:rPr>
          <w:rFonts w:ascii="Times New Roman" w:hAnsi="Times New Roman"/>
          <w:i/>
        </w:rPr>
        <w:t>Details of the 12-day war damage to Mobin Energy: 90% recovery of power output by Mehr 1405</w:t>
      </w:r>
      <w:r>
        <w:rPr>
          <w:rFonts w:ascii="Times New Roman" w:hAnsi="Times New Roman"/>
        </w:rPr>
        <w:t xml:space="preserve"> (News code 55650; 8 September 2026). Retrieved from https://petrochemiha.ir [In Persian]</w:t>
      </w:r>
    </w:p>
    <w:p>
      <w:pPr>
        <w:pStyle w:val="a5"/>
        <w:jc w:val="left"/>
        <w:ind w:left="567" w:hanging="567"/>
        <w:spacing w:before="40" w:after="40" w:line="240" w:lineRule="auto"/>
      </w:pPr>
      <w:r>
        <w:rPr>
          <w:rFonts w:ascii="Times New Roman" w:hAnsi="Times New Roman"/>
        </w:rPr>
        <w:t xml:space="preserve">Post-Disaster Needs Assessment (PDNA). (2013). </w:t>
      </w:r>
      <w:r>
        <w:rPr>
          <w:rFonts w:ascii="Times New Roman" w:hAnsi="Times New Roman"/>
          <w:i/>
        </w:rPr>
        <w:t>PDNA guidelines</w:t>
      </w:r>
      <w:r>
        <w:rPr>
          <w:rFonts w:ascii="Times New Roman" w:hAnsi="Times New Roman"/>
        </w:rPr>
        <w:t xml:space="preserve"> (Vol. A). Washington, DC: GFDRR, European Union, United Nations &amp; World Bank. Retrieved from https://www.gfdrr.org/en/publication/post-disaster-needs-assessments-guidelines</w:t>
      </w:r>
    </w:p>
    <w:p>
      <w:pPr>
        <w:pStyle w:val="a5"/>
        <w:jc w:val="left"/>
        <w:ind w:left="567" w:hanging="567"/>
        <w:spacing w:before="40" w:after="40" w:line="240" w:lineRule="auto"/>
      </w:pPr>
      <w:r>
        <w:rPr>
          <w:rFonts w:ascii="Times New Roman" w:hAnsi="Times New Roman"/>
        </w:rPr>
        <w:t xml:space="preserve">Shana (News Agency). (2026). </w:t>
      </w:r>
      <w:r>
        <w:rPr>
          <w:rFonts w:ascii="Times New Roman" w:hAnsi="Times New Roman"/>
          <w:i/>
        </w:rPr>
        <w:t>Reports on the rehabilitation of damaged Assaluyeh gas refineries and the Oil Ministry's reconstruction programme</w:t>
      </w:r>
      <w:r>
        <w:rPr>
          <w:rFonts w:ascii="Times New Roman" w:hAnsi="Times New Roman"/>
        </w:rPr>
        <w:t>. Retrieved from https://www.shana.ir [In Persian]</w:t>
      </w:r>
    </w:p>
    <w:p>
      <w:pPr>
        <w:pStyle w:val="a5"/>
        <w:jc w:val="left"/>
        <w:ind w:left="567" w:hanging="567"/>
        <w:spacing w:before="40" w:after="40" w:line="240" w:lineRule="auto"/>
      </w:pPr>
      <w:r>
        <w:rPr>
          <w:rFonts w:ascii="Times New Roman" w:hAnsi="Times New Roman"/>
        </w:rPr>
        <w:t xml:space="preserve">Shana (News Agency). (2026). </w:t>
      </w:r>
      <w:r>
        <w:rPr>
          <w:rFonts w:ascii="Times New Roman" w:hAnsi="Times New Roman"/>
          <w:i/>
        </w:rPr>
        <w:t>Overhaul time at Fajr-e Jam refinery reduced by 43 percent</w:t>
      </w:r>
      <w:r>
        <w:rPr>
          <w:rFonts w:ascii="Times New Roman" w:hAnsi="Times New Roman"/>
        </w:rPr>
        <w:t xml:space="preserve"> (report no. 2645406). Retrieved from https://www.shana.ir/news/2645406 [In Persian]</w:t>
      </w:r>
    </w:p>
    <w:p>
      <w:pPr>
        <w:pStyle w:val="a5"/>
        <w:jc w:val="left"/>
        <w:ind w:left="567" w:hanging="567"/>
        <w:spacing w:before="40" w:after="40" w:line="240" w:lineRule="auto"/>
      </w:pPr>
      <w:r>
        <w:rPr>
          <w:rFonts w:ascii="Times New Roman" w:hAnsi="Times New Roman"/>
        </w:rPr>
        <w:t xml:space="preserve">Shargh (Newspaper). (2026). </w:t>
      </w:r>
      <w:r>
        <w:rPr>
          <w:rFonts w:ascii="Times New Roman" w:hAnsi="Times New Roman"/>
          <w:i/>
        </w:rPr>
        <w:t>Sell and buy rates of dollar remittance at the Exchange and Gold Center</w:t>
      </w:r>
      <w:r>
        <w:rPr>
          <w:rFonts w:ascii="Times New Roman" w:hAnsi="Times New Roman"/>
        </w:rPr>
        <w:t>. Retrieved from https://www.sharghdaily.com [In Persian]</w:t>
      </w:r>
    </w:p>
    <w:p>
      <w:pPr>
        <w:pStyle w:val="a5"/>
        <w:jc w:val="left"/>
        <w:ind w:left="567" w:hanging="567"/>
        <w:spacing w:before="40" w:after="40" w:line="240" w:lineRule="auto"/>
      </w:pPr>
      <w:r>
        <w:rPr>
          <w:rFonts w:ascii="Times New Roman" w:hAnsi="Times New Roman"/>
        </w:rPr>
        <w:t xml:space="preserve">Sharifi, N., &amp; Shamsollahi, R. (2026). An analysis of Iran's post-war environmental economy. </w:t>
      </w:r>
      <w:r>
        <w:rPr>
          <w:rFonts w:ascii="Times New Roman" w:hAnsi="Times New Roman"/>
          <w:i/>
        </w:rPr>
        <w:t>Journal of Environmental and Natural Resource Economics</w:t>
      </w:r>
      <w:r>
        <w:rPr>
          <w:rFonts w:ascii="Times New Roman" w:hAnsi="Times New Roman"/>
        </w:rPr>
        <w:t>, 5(14), 15-32. [In Persian]</w:t>
      </w:r>
    </w:p>
    <w:p>
      <w:pPr>
        <w:pStyle w:val="a5"/>
        <w:jc w:val="left"/>
        <w:ind w:left="567" w:hanging="567"/>
        <w:spacing w:before="40" w:after="40" w:line="240" w:lineRule="auto"/>
      </w:pPr>
      <w:r>
        <w:rPr>
          <w:rFonts w:ascii="Times New Roman" w:hAnsi="Times New Roman"/>
        </w:rPr>
        <w:t xml:space="preserve">Tavanir (Iran Power Generation, Transmission and Distribution Management Company). (2026). </w:t>
      </w:r>
      <w:r>
        <w:rPr>
          <w:rFonts w:ascii="Times New Roman" w:hAnsi="Times New Roman"/>
          <w:i/>
        </w:rPr>
        <w:t>Detailed statistics of the Iranian electricity industry</w:t>
      </w:r>
      <w:r>
        <w:rPr>
          <w:rFonts w:ascii="Times New Roman" w:hAnsi="Times New Roman"/>
        </w:rPr>
        <w:t>. Retrieved from https://news.tavanir.org.ir [In Persian]</w:t>
      </w:r>
    </w:p>
    <w:p>
      <w:pPr>
        <w:pStyle w:val="a5"/>
        <w:jc w:val="left"/>
        <w:ind w:left="567" w:hanging="567"/>
        <w:spacing w:before="40" w:after="40" w:line="240" w:lineRule="auto"/>
      </w:pPr>
      <w:r>
        <w:rPr>
          <w:rFonts w:ascii="Times New Roman" w:hAnsi="Times New Roman"/>
        </w:rPr>
        <w:t xml:space="preserve">Tavosi, M., Esmaeili, F., &amp; Sadeghi, S. H. R. (2026). Damages to watersheds and natural resources during the Ramadan War: A green reconstruction framework based on valuation of hidden ecological debt. </w:t>
      </w:r>
      <w:r>
        <w:rPr>
          <w:rFonts w:ascii="Times New Roman" w:hAnsi="Times New Roman"/>
          <w:i/>
        </w:rPr>
        <w:t>Journal of Environmental and Natural Resource Economics</w:t>
      </w:r>
      <w:r>
        <w:rPr>
          <w:rFonts w:ascii="Times New Roman" w:hAnsi="Times New Roman"/>
        </w:rPr>
        <w:t>, 5(14), 33-60. doi: 10.22054/eenr.2026.92647.233</w:t>
      </w:r>
    </w:p>
    <w:p>
      <w:pPr>
        <w:pStyle w:val="a5"/>
        <w:jc w:val="left"/>
        <w:ind w:left="567" w:hanging="567"/>
        <w:spacing w:before="40" w:after="40" w:line="240" w:lineRule="auto"/>
      </w:pPr>
      <w:r>
        <w:rPr>
          <w:rFonts w:ascii="Times New Roman" w:hAnsi="Times New Roman"/>
        </w:rPr>
        <w:t xml:space="preserve">Tejarat News (News Agency). (2026). </w:t>
      </w:r>
      <w:r>
        <w:rPr>
          <w:rFonts w:ascii="Times New Roman" w:hAnsi="Times New Roman"/>
          <w:i/>
        </w:rPr>
        <w:t>Dollar price in the free market (Shahrivar 1405)</w:t>
      </w:r>
      <w:r>
        <w:rPr>
          <w:rFonts w:ascii="Times New Roman" w:hAnsi="Times New Roman"/>
        </w:rPr>
        <w:t>. Retrieved from https://tejaratnews.com [In Persian]</w:t>
      </w:r>
    </w:p>
    <w:p>
      <w:pPr>
        <w:pStyle w:val="a5"/>
        <w:jc w:val="left"/>
        <w:ind w:left="567" w:hanging="567"/>
        <w:spacing w:before="40" w:after="40" w:line="240" w:lineRule="auto"/>
      </w:pPr>
      <w:r>
        <w:rPr>
          <w:rFonts w:ascii="Times New Roman" w:hAnsi="Times New Roman"/>
        </w:rPr>
        <w:t xml:space="preserve">United Nations. (2022). </w:t>
      </w:r>
      <w:r>
        <w:rPr>
          <w:rFonts w:ascii="Times New Roman" w:hAnsi="Times New Roman"/>
          <w:i/>
        </w:rPr>
        <w:t>Draft principles on protection of the environment in relation to armed conflicts</w:t>
      </w:r>
      <w:r>
        <w:rPr>
          <w:rFonts w:ascii="Times New Roman" w:hAnsi="Times New Roman"/>
        </w:rPr>
        <w:t>. Yearbook of the International Law Commission.</w:t>
      </w:r>
    </w:p>
    <w:p>
      <w:pPr>
        <w:pStyle w:val="a5"/>
        <w:jc w:val="left"/>
        <w:ind w:left="567" w:hanging="567"/>
        <w:spacing w:before="40" w:after="40" w:line="240" w:lineRule="auto"/>
      </w:pPr>
      <w:r>
        <w:rPr>
          <w:rFonts w:ascii="Times New Roman" w:hAnsi="Times New Roman"/>
        </w:rPr>
        <w:t xml:space="preserve">United Nations Compensation Commission. (2005). </w:t>
      </w:r>
      <w:r>
        <w:rPr>
          <w:rFonts w:ascii="Times New Roman" w:hAnsi="Times New Roman"/>
          <w:i/>
        </w:rPr>
        <w:t>Report and recommendations made by the Panel of Commissioners concerning the fifth instalment of “F4” claims</w:t>
      </w:r>
      <w:r>
        <w:rPr>
          <w:rFonts w:ascii="Times New Roman" w:hAnsi="Times New Roman"/>
        </w:rPr>
        <w:t xml:space="preserve"> (S/AC.‎26/2005‎/10). Geneva: UNCC. Retrieved from https://uncc.un.org/sites/default/files/2023-05/r2005-10.pdf</w:t>
      </w:r>
    </w:p>
    <w:p>
      <w:pPr>
        <w:pStyle w:val="a5"/>
        <w:jc w:val="left"/>
        <w:ind w:left="567" w:hanging="567"/>
        <w:spacing w:before="40" w:after="40" w:line="240" w:lineRule="auto"/>
      </w:pPr>
      <w:r>
        <w:rPr>
          <w:rFonts w:ascii="Times New Roman" w:hAnsi="Times New Roman"/>
        </w:rPr>
        <w:t xml:space="preserve">United Nations Office for Disaster Risk Reduction (UNDRR). (2015). </w:t>
      </w:r>
      <w:r>
        <w:rPr>
          <w:rFonts w:ascii="Times New Roman" w:hAnsi="Times New Roman"/>
          <w:i/>
        </w:rPr>
        <w:t>Sendai Framework for Disaster Risk Reduction 2015-2030</w:t>
      </w:r>
      <w:r>
        <w:rPr>
          <w:rFonts w:ascii="Times New Roman" w:hAnsi="Times New Roman"/>
        </w:rPr>
        <w:t>. Geneva: UNDRR.</w:t>
      </w:r>
    </w:p>
    <w:p>
      <w:pPr>
        <w:pStyle w:val="a5"/>
        <w:jc w:val="left"/>
        <w:ind w:left="567" w:hanging="567"/>
        <w:spacing w:before="40" w:after="40" w:line="240" w:lineRule="auto"/>
      </w:pPr>
      <w:r>
        <w:rPr>
          <w:rFonts w:ascii="Times New Roman" w:hAnsi="Times New Roman"/>
        </w:rPr>
        <w:t xml:space="preserve">U.S. Energy Information Administration &amp; Sargent &amp; Lundy. (2024). </w:t>
      </w:r>
      <w:r>
        <w:rPr>
          <w:rFonts w:ascii="Times New Roman" w:hAnsi="Times New Roman"/>
          <w:i/>
        </w:rPr>
        <w:t>Capital cost and performance characteristic estimates for utility-scale electric power generating technologies</w:t>
      </w:r>
      <w:r>
        <w:rPr>
          <w:rFonts w:ascii="Times New Roman" w:hAnsi="Times New Roman"/>
        </w:rPr>
        <w:t xml:space="preserve"> (for AEO2025). Washington, DC: EIA.</w:t>
      </w:r>
    </w:p>
    <w:p>
      <w:pPr>
        <w:pStyle w:val="a5"/>
        <w:jc w:val="left"/>
        <w:ind w:left="567" w:hanging="567"/>
        <w:spacing w:before="40" w:after="40" w:line="240" w:lineRule="auto"/>
      </w:pPr>
      <w:r>
        <w:rPr>
          <w:rFonts w:ascii="Times New Roman" w:hAnsi="Times New Roman"/>
        </w:rPr>
        <w:t xml:space="preserve">World Bank, Government of Ukraine, European Commission, &amp; United Nations. (2024). </w:t>
      </w:r>
      <w:r>
        <w:rPr>
          <w:rFonts w:ascii="Times New Roman" w:hAnsi="Times New Roman"/>
          <w:i/>
        </w:rPr>
        <w:t>Ukraine: Third rapid damage and needs assessment (RDNA3), February 2022 – December 2023</w:t>
      </w:r>
      <w:r>
        <w:rPr>
          <w:rFonts w:ascii="Times New Roman" w:hAnsi="Times New Roman"/>
        </w:rPr>
        <w:t>. Washington, DC: World Bank. Retrieved from https://openknowledge.worldbank.org (RDNA3, February 2024)</w:t>
      </w:r>
    </w:p>
    <w:p>
      <w:pPr>
        <w:pBdr>
          <w:bottom w:val="single" w:sz="4" w:space="1" w:color="B9C4CA"/>
        </w:pBdr>
        <w:spacing w:before="120" w:after="120" w:line="240" w:lineRule="auto"/>
      </w:pPr>
      <w:r/>
    </w:p>
    <w:p>
      <w:pPr>
        <w:pStyle w:val="a3"/>
        <w:bidi w:val="1"/>
        <w:jc w:val="both"/>
        <w:spacing w:before="240" w:after="120" w:line="276" w:lineRule="auto"/>
      </w:pPr>
      <w:r>
        <w:t>استناد به این مقاله</w:t>
      </w:r>
    </w:p>
    <w:p>
      <w:pPr>
        <w:pStyle w:val="a"/>
        <w:bidi w:val="1"/>
        <w:jc w:val="both"/>
        <w:spacing w:before="60" w:after="60" w:line="259" w:lineRule="auto"/>
      </w:pPr>
      <w:r>
        <w:t xml:space="preserve">⟦نویسندگان⟧. (۱۴۰۵). اقتصاد سنجش خسارت انرژی جنگ: معیار، دامنه و افق — با چارچوبی برای تخصیص ارزبری در بازسازی. </w:t>
      </w:r>
      <w:r>
        <w:rPr>
          <w:i/>
        </w:rPr>
        <w:t>فصلنامه اقتصاد محیط‌زیست و منابع طبیعی</w:t>
      </w:r>
      <w:r>
        <w:t>، ۵(⟦شماره⟧)، ⟦صفحات⟧. doi: ⟦شناسه⟧</w:t>
      </w:r>
    </w:p>
    <w:p>
      <w:pPr>
        <w:jc w:val="left"/>
        <w:spacing w:before="60" w:after="60" w:line="259" w:lineRule="auto"/>
      </w:pPr>
      <w:r>
        <w:rPr>
          <w:rFonts w:ascii="Times New Roman" w:hAnsi="Times New Roman"/>
          <w:b/>
        </w:rPr>
        <w:t>How to Cite:</w:t>
      </w:r>
      <w:r>
        <w:rPr>
          <w:rFonts w:ascii="Times New Roman" w:hAnsi="Times New Roman"/>
        </w:rPr>
        <w:t xml:space="preserve"> ⟦Authors⟧ (2026). The Economics of Measuring War Damage to Energy Assets: Basis, Scope and Horizon — with an Allocation Rule for Reconstruction under Foreign-Exchange Scarcity. </w:t>
      </w:r>
      <w:r>
        <w:rPr>
          <w:rFonts w:ascii="Times New Roman" w:hAnsi="Times New Roman"/>
          <w:i/>
        </w:rPr>
        <w:t>Journal of Environmental and Natural Resource Economics</w:t>
      </w:r>
      <w:r>
        <w:rPr>
          <w:rFonts w:ascii="Times New Roman" w:hAnsi="Times New Roman"/>
        </w:rPr>
        <w:t>, 5(⟦issue⟧), pp. ⟦pages⟧. DOI: ⟦…⟧</w:t>
      </w:r>
    </w:p>
    <w:p>
      <w:pPr>
        <w:pBdr>
          <w:bottom w:val="single" w:sz="4" w:space="1" w:color="B9C4CA"/>
        </w:pBdr>
        <w:spacing w:before="120" w:after="120" w:line="240" w:lineRule="auto"/>
      </w:pPr>
      <w:r/>
    </w:p>
    <w:p>
      <w:pPr>
        <w:pStyle w:val="a3"/>
        <w:bidi w:val="1"/>
        <w:jc w:val="both"/>
        <w:spacing w:before="240" w:after="120" w:line="276" w:lineRule="auto"/>
      </w:pPr>
      <w:r>
        <w:t>پانویس‌ها</w:t>
      </w:r>
    </w:p>
    <w:p>
      <w:pPr>
        <w:pStyle w:val="a3"/>
        <w:bidi w:val="1"/>
        <w:jc w:val="both"/>
        <w:spacing w:before="200" w:after="100" w:line="259" w:lineRule="auto"/>
      </w:pPr>
      <w:r>
        <w:t>الف) یادداشت‌های محتوایی (روی صفحه‌ی مربوطه)</w:t>
      </w:r>
    </w:p>
    <w:p>
      <w:pPr>
        <w:pStyle w:val="a"/>
        <w:bidi w:val="1"/>
        <w:jc w:val="both"/>
        <w:spacing w:before="60" w:after="60" w:line="259" w:lineRule="auto"/>
      </w:pPr>
      <w:r>
        <w:rPr>
          <w:b/>
        </w:rPr>
        <w:t>۱ — تعریف عملیاتی جنگ (صفحه‌ی نخست، روی واژه‌ی «جنگ»):</w:t>
      </w:r>
      <w:r>
        <w:t xml:space="preserve"> در این مقاله، «جنگ» به دوره‌ی ۹ اسفند ۱۴۰۴ تا ۱۹ فروردین ۱۴۰۵ (۴۱ روز) اطلاق می‌گردد؛ خسارات این دوره با احتساب بازه‌ی فراتر از آتش‌بس (تا شهریور ۱۴۰۵) نشان داده می‌شود. در مواردی که به جنگ پیشین ارجاع می‌دهیم، صریحاً «جنگ ۱۲ روزه (خرداد–تیر ۱۴۰۴)» را نام می‌بریم. پرونده‌های پرداخت خسارت که این دو دوره را جداگانه ثبت کرده‌اند، هرگز جمع نمی‌شوند.</w:t>
      </w:r>
    </w:p>
    <w:p>
      <w:pPr>
        <w:pStyle w:val="a"/>
        <w:bidi w:val="1"/>
        <w:jc w:val="both"/>
        <w:spacing w:before="60" w:after="60" w:line="259" w:lineRule="auto"/>
      </w:pPr>
      <w:r>
        <w:rPr>
          <w:b/>
        </w:rPr>
        <w:t>۲ — قاعده‌ی انتساب (روی بخش ه):</w:t>
      </w:r>
      <w:r>
        <w:t xml:space="preserve"> (الف) معیار پذیرش: فقط ارقام کارشناسی رسمی با تصریح علت؛ (ب) فیلتر علت رقیب: آزمون هر رقم زیان کارکردی با سه علت رقیب پیش از انتساب به جنگ؛ (ج) اعلام دوره‌ی پایه برای هر رقم؛ (د) نمایش در یک ردیف واحد: «خسارت منتسب به جنگ | زیان پایه (پیش از جنگ) | زیان منتسب».</w:t>
      </w:r>
    </w:p>
    <w:p>
      <w:pPr>
        <w:pStyle w:val="a"/>
        <w:bidi w:val="1"/>
        <w:jc w:val="both"/>
        <w:spacing w:before="60" w:after="60" w:line="259" w:lineRule="auto"/>
      </w:pPr>
      <w:r>
        <w:rPr>
          <w:b/>
        </w:rPr>
        <w:t>۳ — یادداشت اقلیمی (روی بخش و):</w:t>
      </w:r>
      <w:r>
        <w:t xml:space="preserve"> ارقام کربن و خسارت زیست‌محیطی از سه سند نقل می‌شود، نه به‌عنوان داده‌ی تازه: (الف) گزارش رسمی سازمان حفاظت محیط‌زیست (فروردین ۱۴۰۵): ۱۳ منطقه‌ی تحت مدیریت در ۷ استان آسیب‌دیده، بیش از ۳۶۰ هزار مترمکعب مواد نفتی سوخته، ≈۱ میلیون تن CO₂ و ≈۴ هزار تن ترکیبات آلی فرار؛ (ب) اعلام معاون محیط زیست طبیعی همان سازمان: ۸٬۴۵۰ هکتار جنگل و مرتع در جنگ ۱۲ روزه؛ (پ) طاوسی و همکاران (۱۴۰۴): ۸٬۵۰۰ هکتار جنگل زاگرس و ‎۱/۰۵‎ میلیون تن CO₂e. عضو کمیسیون محیط زیست مجلس نیز ~۷٬۵۰۰ هکتار و ۷ تا ۸ هزار میلیارد تومان اعلام کرده است؛ یعنی حتی «مساحت سوخته» هم سه رقم دارد. کربن نهفته‌ی بازسازی در سنجه‌ی فیزیکی گزارش می‌شود (پیوست، پ-۲)؛ پس «بازسازی سبز» یعنی خرید کاهش انتشار در همان مرحله‌ی تصمیم، نه تعویق بازسازی به بهانه‌ی سبزی.</w:t>
      </w:r>
    </w:p>
    <w:p>
      <w:pPr>
        <w:pStyle w:val="a3"/>
        <w:bidi w:val="1"/>
        <w:jc w:val="both"/>
        <w:spacing w:before="200" w:after="100" w:line="259" w:lineRule="auto"/>
      </w:pPr>
      <w:r>
        <w:t>ب) معادل‌های لاتین (الگوی پانویس اصطلاحی ژورنال)</w:t>
      </w:r>
    </w:p>
    <w:tbl>
      <w:tblPr>
        <w:tblStyle w:val="TableGrid"/>
        <w:tblW w:type="auto" w:w="0"/>
        <w:jc w:val="center"/>
        <w:tblLayout w:type="autofit"/>
        <w:tblLook w:firstColumn="1" w:firstRow="1" w:lastColumn="0" w:lastRow="0" w:noHBand="0" w:noVBand="1" w:val="04A0"/>
        <w:bidiVisual/>
      </w:tblPr>
      <w:tblGrid>
        <w:gridCol w:w="3401"/>
        <w:gridCol w:w="3401"/>
      </w:tblGrid>
      <w:tr>
        <w:trPr/>
        <w:tc>
          <w:tcPr>
            <w:tcW w:type="dxa" w:w="3401"/>
            <w:vAlign w:val="center"/>
            <w:shd w:val="clear" w:color="auto" w:fill="EEF4F7"/>
            <w:tcMar>
              <w:top w:w="80" w:type="dxa"/>
              <w:left w:w="80" w:type="dxa"/>
              <w:bottom w:w="80" w:type="dxa"/>
              <w:right w:w="80" w:type="dxa"/>
            </w:tcMar>
          </w:tcPr>
          <w:p>
            <w:pPr>
              <w:bidi w:val="1"/>
              <w:jc w:val="center"/>
            </w:pPr>
            <w:r>
              <w:rPr>
                <w:b/>
                <w:sz w:val="19"/>
                <w:rFonts w:cs="B Lotus" w:hAnsi="Times New Roman" w:ascii="Times New Roman"/>
              </w:rPr>
              <w:t>اصطلاح در متن</w:t>
            </w:r>
          </w:p>
        </w:tc>
        <w:tc>
          <w:tcPr>
            <w:tcW w:type="dxa" w:w="3401"/>
            <w:vAlign w:val="center"/>
            <w:shd w:val="clear" w:color="auto" w:fill="EEF4F7"/>
            <w:tcMar>
              <w:top w:w="80" w:type="dxa"/>
              <w:left w:w="80" w:type="dxa"/>
              <w:bottom w:w="80" w:type="dxa"/>
              <w:right w:w="80" w:type="dxa"/>
            </w:tcMar>
          </w:tcPr>
          <w:p>
            <w:pPr>
              <w:bidi w:val="1"/>
              <w:jc w:val="center"/>
            </w:pPr>
            <w:r>
              <w:rPr>
                <w:b/>
                <w:sz w:val="19"/>
                <w:rFonts w:cs="B Lotus" w:hAnsi="Times New Roman" w:ascii="Times New Roman"/>
              </w:rPr>
              <w:t>معادل لاتین</w:t>
            </w:r>
          </w:p>
        </w:tc>
      </w:tr>
      <w:tr>
        <w:trPr/>
        <w:tc>
          <w:tcPr>
            <w:tcW w:type="dxa" w:w="3401"/>
            <w:vAlign w:val="center"/>
            <w:tcMar>
              <w:top w:w="80" w:type="dxa"/>
              <w:left w:w="80" w:type="dxa"/>
              <w:bottom w:w="80" w:type="dxa"/>
              <w:right w:w="80" w:type="dxa"/>
            </w:tcMar>
          </w:tcPr>
          <w:p>
            <w:pPr>
              <w:bidi w:val="1"/>
              <w:jc w:val="center"/>
            </w:pPr>
            <w:r>
              <w:rPr>
                <w:sz w:val="18"/>
                <w:rFonts w:cs="B Lotus" w:hAnsi="Times New Roman" w:ascii="Times New Roman"/>
              </w:rPr>
              <w:t>اقتصاد سنجش خسارت</w:t>
            </w:r>
          </w:p>
        </w:tc>
        <w:tc>
          <w:tcPr>
            <w:tcW w:type="dxa" w:w="3401"/>
            <w:vAlign w:val="center"/>
            <w:tcMar>
              <w:top w:w="80" w:type="dxa"/>
              <w:left w:w="80" w:type="dxa"/>
              <w:bottom w:w="80" w:type="dxa"/>
              <w:right w:w="80" w:type="dxa"/>
            </w:tcMar>
          </w:tcPr>
          <w:p>
            <w:pPr>
              <w:jc w:val="center"/>
            </w:pPr>
            <w:r>
              <w:rPr>
                <w:rFonts w:ascii="Times New Roman" w:hAnsi="Times New Roman"/>
                <w:sz w:val="18"/>
              </w:rPr>
              <w:t>War Damage Valuation</w:t>
            </w:r>
          </w:p>
        </w:tc>
      </w:tr>
      <w:tr>
        <w:trPr/>
        <w:tc>
          <w:tcPr>
            <w:tcW w:type="dxa" w:w="3401"/>
            <w:vAlign w:val="center"/>
            <w:tcMar>
              <w:top w:w="80" w:type="dxa"/>
              <w:left w:w="80" w:type="dxa"/>
              <w:bottom w:w="80" w:type="dxa"/>
              <w:right w:w="80" w:type="dxa"/>
            </w:tcMar>
          </w:tcPr>
          <w:p>
            <w:pPr>
              <w:bidi w:val="1"/>
              <w:jc w:val="center"/>
            </w:pPr>
            <w:r>
              <w:rPr>
                <w:sz w:val="18"/>
                <w:rFonts w:cs="B Lotus" w:hAnsi="Times New Roman" w:ascii="Times New Roman"/>
              </w:rPr>
              <w:t>ارزبری</w:t>
            </w:r>
          </w:p>
        </w:tc>
        <w:tc>
          <w:tcPr>
            <w:tcW w:type="dxa" w:w="3401"/>
            <w:vAlign w:val="center"/>
            <w:tcMar>
              <w:top w:w="80" w:type="dxa"/>
              <w:left w:w="80" w:type="dxa"/>
              <w:bottom w:w="80" w:type="dxa"/>
              <w:right w:w="80" w:type="dxa"/>
            </w:tcMar>
          </w:tcPr>
          <w:p>
            <w:pPr>
              <w:jc w:val="center"/>
            </w:pPr>
            <w:r>
              <w:rPr>
                <w:rFonts w:ascii="Times New Roman" w:hAnsi="Times New Roman"/>
                <w:sz w:val="18"/>
              </w:rPr>
              <w:t>Foreign-Exchange Intensity</w:t>
            </w:r>
          </w:p>
        </w:tc>
      </w:tr>
      <w:tr>
        <w:trPr/>
        <w:tc>
          <w:tcPr>
            <w:tcW w:type="dxa" w:w="3401"/>
            <w:vAlign w:val="center"/>
            <w:tcMar>
              <w:top w:w="80" w:type="dxa"/>
              <w:left w:w="80" w:type="dxa"/>
              <w:bottom w:w="80" w:type="dxa"/>
              <w:right w:w="80" w:type="dxa"/>
            </w:tcMar>
          </w:tcPr>
          <w:p>
            <w:pPr>
              <w:bidi w:val="1"/>
              <w:jc w:val="center"/>
            </w:pPr>
            <w:r>
              <w:rPr>
                <w:sz w:val="18"/>
                <w:rFonts w:cs="B Lotus" w:hAnsi="Times New Roman" w:ascii="Times New Roman"/>
              </w:rPr>
              <w:t>معیار، دامنه، افق</w:t>
            </w:r>
          </w:p>
        </w:tc>
        <w:tc>
          <w:tcPr>
            <w:tcW w:type="dxa" w:w="3401"/>
            <w:vAlign w:val="center"/>
            <w:tcMar>
              <w:top w:w="80" w:type="dxa"/>
              <w:left w:w="80" w:type="dxa"/>
              <w:bottom w:w="80" w:type="dxa"/>
              <w:right w:w="80" w:type="dxa"/>
            </w:tcMar>
          </w:tcPr>
          <w:p>
            <w:pPr>
              <w:jc w:val="center"/>
            </w:pPr>
            <w:r>
              <w:rPr>
                <w:rFonts w:ascii="Times New Roman" w:hAnsi="Times New Roman"/>
                <w:sz w:val="18"/>
              </w:rPr>
              <w:t>Basis, Scope and Horizon</w:t>
            </w:r>
          </w:p>
        </w:tc>
      </w:tr>
      <w:tr>
        <w:trPr/>
        <w:tc>
          <w:tcPr>
            <w:tcW w:type="dxa" w:w="3401"/>
            <w:vAlign w:val="center"/>
            <w:tcMar>
              <w:top w:w="80" w:type="dxa"/>
              <w:left w:w="80" w:type="dxa"/>
              <w:bottom w:w="80" w:type="dxa"/>
              <w:right w:w="80" w:type="dxa"/>
            </w:tcMar>
          </w:tcPr>
          <w:p>
            <w:pPr>
              <w:bidi w:val="1"/>
              <w:jc w:val="center"/>
            </w:pPr>
            <w:r>
              <w:rPr>
                <w:sz w:val="18"/>
                <w:rFonts w:cs="B Lotus" w:hAnsi="Times New Roman" w:ascii="Times New Roman"/>
              </w:rPr>
              <w:t>برچسب سه‌گانه</w:t>
            </w:r>
          </w:p>
        </w:tc>
        <w:tc>
          <w:tcPr>
            <w:tcW w:type="dxa" w:w="3401"/>
            <w:vAlign w:val="center"/>
            <w:tcMar>
              <w:top w:w="80" w:type="dxa"/>
              <w:left w:w="80" w:type="dxa"/>
              <w:bottom w:w="80" w:type="dxa"/>
              <w:right w:w="80" w:type="dxa"/>
            </w:tcMar>
          </w:tcPr>
          <w:p>
            <w:pPr>
              <w:jc w:val="center"/>
            </w:pPr>
            <w:r>
              <w:rPr>
                <w:rFonts w:ascii="Times New Roman" w:hAnsi="Times New Roman"/>
                <w:sz w:val="18"/>
              </w:rPr>
              <w:t>Triple Labelling</w:t>
            </w:r>
          </w:p>
        </w:tc>
      </w:tr>
      <w:tr>
        <w:trPr/>
        <w:tc>
          <w:tcPr>
            <w:tcW w:type="dxa" w:w="3401"/>
            <w:vAlign w:val="center"/>
            <w:tcMar>
              <w:top w:w="80" w:type="dxa"/>
              <w:left w:w="80" w:type="dxa"/>
              <w:bottom w:w="80" w:type="dxa"/>
              <w:right w:w="80" w:type="dxa"/>
            </w:tcMar>
          </w:tcPr>
          <w:p>
            <w:pPr>
              <w:bidi w:val="1"/>
              <w:jc w:val="center"/>
            </w:pPr>
            <w:r>
              <w:rPr>
                <w:sz w:val="18"/>
                <w:rFonts w:cs="B Lotus" w:hAnsi="Times New Roman" w:ascii="Times New Roman"/>
              </w:rPr>
              <w:t>بازسازی سبز</w:t>
            </w:r>
          </w:p>
        </w:tc>
        <w:tc>
          <w:tcPr>
            <w:tcW w:type="dxa" w:w="3401"/>
            <w:vAlign w:val="center"/>
            <w:tcMar>
              <w:top w:w="80" w:type="dxa"/>
              <w:left w:w="80" w:type="dxa"/>
              <w:bottom w:w="80" w:type="dxa"/>
              <w:right w:w="80" w:type="dxa"/>
            </w:tcMar>
          </w:tcPr>
          <w:p>
            <w:pPr>
              <w:jc w:val="center"/>
            </w:pPr>
            <w:r>
              <w:rPr>
                <w:rFonts w:ascii="Times New Roman" w:hAnsi="Times New Roman"/>
                <w:sz w:val="18"/>
              </w:rPr>
              <w:t>Green Reconstruction</w:t>
            </w:r>
          </w:p>
        </w:tc>
      </w:tr>
      <w:tr>
        <w:trPr/>
        <w:tc>
          <w:tcPr>
            <w:tcW w:type="dxa" w:w="3401"/>
            <w:vAlign w:val="center"/>
            <w:tcMar>
              <w:top w:w="80" w:type="dxa"/>
              <w:left w:w="80" w:type="dxa"/>
              <w:bottom w:w="80" w:type="dxa"/>
              <w:right w:w="80" w:type="dxa"/>
            </w:tcMar>
          </w:tcPr>
          <w:p>
            <w:pPr>
              <w:bidi w:val="1"/>
              <w:jc w:val="center"/>
            </w:pPr>
            <w:r>
              <w:rPr>
                <w:sz w:val="18"/>
                <w:rFonts w:cs="B Lotus" w:hAnsi="Times New Roman" w:ascii="Times New Roman"/>
              </w:rPr>
              <w:t>کربن نهفته‌ی بازسازی</w:t>
            </w:r>
          </w:p>
        </w:tc>
        <w:tc>
          <w:tcPr>
            <w:tcW w:type="dxa" w:w="3401"/>
            <w:vAlign w:val="center"/>
            <w:tcMar>
              <w:top w:w="80" w:type="dxa"/>
              <w:left w:w="80" w:type="dxa"/>
              <w:bottom w:w="80" w:type="dxa"/>
              <w:right w:w="80" w:type="dxa"/>
            </w:tcMar>
          </w:tcPr>
          <w:p>
            <w:pPr>
              <w:jc w:val="center"/>
            </w:pPr>
            <w:r>
              <w:rPr>
                <w:rFonts w:ascii="Times New Roman" w:hAnsi="Times New Roman"/>
                <w:sz w:val="18"/>
              </w:rPr>
              <w:t>Embodied Carbon of Reconstruction</w:t>
            </w:r>
          </w:p>
        </w:tc>
      </w:tr>
      <w:tr>
        <w:trPr/>
        <w:tc>
          <w:tcPr>
            <w:tcW w:type="dxa" w:w="3401"/>
            <w:vAlign w:val="center"/>
            <w:tcMar>
              <w:top w:w="80" w:type="dxa"/>
              <w:left w:w="80" w:type="dxa"/>
              <w:bottom w:w="80" w:type="dxa"/>
              <w:right w:w="80" w:type="dxa"/>
            </w:tcMar>
          </w:tcPr>
          <w:p>
            <w:pPr>
              <w:bidi w:val="1"/>
              <w:jc w:val="center"/>
            </w:pPr>
            <w:r>
              <w:rPr>
                <w:sz w:val="18"/>
                <w:rFonts w:cs="B Lotus" w:hAnsi="Times New Roman" w:ascii="Times New Roman"/>
              </w:rPr>
              <w:t>نرخ سایه‌ی ارز</w:t>
            </w:r>
          </w:p>
        </w:tc>
        <w:tc>
          <w:tcPr>
            <w:tcW w:type="dxa" w:w="3401"/>
            <w:vAlign w:val="center"/>
            <w:tcMar>
              <w:top w:w="80" w:type="dxa"/>
              <w:left w:w="80" w:type="dxa"/>
              <w:bottom w:w="80" w:type="dxa"/>
              <w:right w:w="80" w:type="dxa"/>
            </w:tcMar>
          </w:tcPr>
          <w:p>
            <w:pPr>
              <w:jc w:val="center"/>
            </w:pPr>
            <w:r>
              <w:rPr>
                <w:rFonts w:ascii="Times New Roman" w:hAnsi="Times New Roman"/>
                <w:sz w:val="18"/>
              </w:rPr>
              <w:t>Shadow Exchange Rate</w:t>
            </w:r>
          </w:p>
        </w:tc>
      </w:tr>
      <w:tr>
        <w:trPr/>
        <w:tc>
          <w:tcPr>
            <w:tcW w:type="dxa" w:w="3401"/>
            <w:vAlign w:val="center"/>
            <w:tcMar>
              <w:top w:w="80" w:type="dxa"/>
              <w:left w:w="80" w:type="dxa"/>
              <w:bottom w:w="80" w:type="dxa"/>
              <w:right w:w="80" w:type="dxa"/>
            </w:tcMar>
          </w:tcPr>
          <w:p>
            <w:pPr>
              <w:bidi w:val="1"/>
              <w:jc w:val="center"/>
            </w:pPr>
            <w:r>
              <w:rPr>
                <w:sz w:val="18"/>
                <w:rFonts w:cs="B Lotus" w:hAnsi="Times New Roman" w:ascii="Times New Roman"/>
              </w:rPr>
              <w:t>رجیستری خسارت</w:t>
            </w:r>
          </w:p>
        </w:tc>
        <w:tc>
          <w:tcPr>
            <w:tcW w:type="dxa" w:w="3401"/>
            <w:vAlign w:val="center"/>
            <w:tcMar>
              <w:top w:w="80" w:type="dxa"/>
              <w:left w:w="80" w:type="dxa"/>
              <w:bottom w:w="80" w:type="dxa"/>
              <w:right w:w="80" w:type="dxa"/>
            </w:tcMar>
          </w:tcPr>
          <w:p>
            <w:pPr>
              <w:jc w:val="center"/>
            </w:pPr>
            <w:r>
              <w:rPr>
                <w:rFonts w:ascii="Times New Roman" w:hAnsi="Times New Roman"/>
                <w:sz w:val="18"/>
              </w:rPr>
              <w:t>Damage Registry</w:t>
            </w:r>
          </w:p>
        </w:tc>
      </w:tr>
      <w:tr>
        <w:trPr/>
        <w:tc>
          <w:tcPr>
            <w:tcW w:type="dxa" w:w="3401"/>
            <w:vAlign w:val="center"/>
            <w:tcMar>
              <w:top w:w="80" w:type="dxa"/>
              <w:left w:w="80" w:type="dxa"/>
              <w:bottom w:w="80" w:type="dxa"/>
              <w:right w:w="80" w:type="dxa"/>
            </w:tcMar>
          </w:tcPr>
          <w:p>
            <w:pPr>
              <w:bidi w:val="1"/>
              <w:jc w:val="center"/>
            </w:pPr>
            <w:r>
              <w:rPr>
                <w:sz w:val="18"/>
                <w:rFonts w:cs="B Lotus" w:hAnsi="Times New Roman" w:ascii="Times New Roman"/>
              </w:rPr>
              <w:t>واحد خدمت بازیابی‌شده</w:t>
            </w:r>
          </w:p>
        </w:tc>
        <w:tc>
          <w:tcPr>
            <w:tcW w:type="dxa" w:w="3401"/>
            <w:vAlign w:val="center"/>
            <w:tcMar>
              <w:top w:w="80" w:type="dxa"/>
              <w:left w:w="80" w:type="dxa"/>
              <w:bottom w:w="80" w:type="dxa"/>
              <w:right w:w="80" w:type="dxa"/>
            </w:tcMar>
          </w:tcPr>
          <w:p>
            <w:pPr>
              <w:jc w:val="center"/>
            </w:pPr>
            <w:r>
              <w:rPr>
                <w:rFonts w:ascii="Times New Roman" w:hAnsi="Times New Roman"/>
                <w:sz w:val="18"/>
              </w:rPr>
              <w:t>Unit of Restored Service</w:t>
            </w:r>
          </w:p>
        </w:tc>
      </w:tr>
      <w:tr>
        <w:trPr/>
        <w:tc>
          <w:tcPr>
            <w:tcW w:type="dxa" w:w="3401"/>
            <w:vAlign w:val="center"/>
            <w:tcMar>
              <w:top w:w="80" w:type="dxa"/>
              <w:left w:w="80" w:type="dxa"/>
              <w:bottom w:w="80" w:type="dxa"/>
              <w:right w:w="80" w:type="dxa"/>
            </w:tcMar>
          </w:tcPr>
          <w:p>
            <w:pPr>
              <w:bidi w:val="1"/>
              <w:jc w:val="center"/>
            </w:pPr>
            <w:r>
              <w:rPr>
                <w:sz w:val="18"/>
                <w:rFonts w:cs="B Lotus" w:hAnsi="Times New Roman" w:ascii="Times New Roman"/>
              </w:rPr>
              <w:t>معیار N-1</w:t>
            </w:r>
          </w:p>
        </w:tc>
        <w:tc>
          <w:tcPr>
            <w:tcW w:type="dxa" w:w="3401"/>
            <w:vAlign w:val="center"/>
            <w:tcMar>
              <w:top w:w="80" w:type="dxa"/>
              <w:left w:w="80" w:type="dxa"/>
              <w:bottom w:w="80" w:type="dxa"/>
              <w:right w:w="80" w:type="dxa"/>
            </w:tcMar>
          </w:tcPr>
          <w:p>
            <w:pPr>
              <w:jc w:val="center"/>
            </w:pPr>
            <w:r>
              <w:rPr>
                <w:rFonts w:ascii="Times New Roman" w:hAnsi="Times New Roman"/>
                <w:sz w:val="18"/>
              </w:rPr>
              <w:t>N-1 Criterion</w:t>
            </w:r>
          </w:p>
        </w:tc>
      </w:tr>
      <w:tr>
        <w:trPr/>
        <w:tc>
          <w:tcPr>
            <w:tcW w:type="dxa" w:w="3401"/>
            <w:vAlign w:val="center"/>
            <w:tcMar>
              <w:top w:w="80" w:type="dxa"/>
              <w:left w:w="80" w:type="dxa"/>
              <w:bottom w:w="80" w:type="dxa"/>
              <w:right w:w="80" w:type="dxa"/>
            </w:tcMar>
          </w:tcPr>
          <w:p>
            <w:pPr>
              <w:bidi w:val="1"/>
              <w:jc w:val="center"/>
            </w:pPr>
            <w:r>
              <w:rPr>
                <w:sz w:val="18"/>
                <w:rFonts w:cs="B Lotus" w:hAnsi="Times New Roman" w:ascii="Times New Roman"/>
              </w:rPr>
              <w:t>گُوِه‌ی ادعا–هزینه</w:t>
            </w:r>
          </w:p>
        </w:tc>
        <w:tc>
          <w:tcPr>
            <w:tcW w:type="dxa" w:w="3401"/>
            <w:vAlign w:val="center"/>
            <w:tcMar>
              <w:top w:w="80" w:type="dxa"/>
              <w:left w:w="80" w:type="dxa"/>
              <w:bottom w:w="80" w:type="dxa"/>
              <w:right w:w="80" w:type="dxa"/>
            </w:tcMar>
          </w:tcPr>
          <w:p>
            <w:pPr>
              <w:jc w:val="center"/>
            </w:pPr>
            <w:r>
              <w:rPr>
                <w:rFonts w:ascii="Times New Roman" w:hAnsi="Times New Roman"/>
                <w:sz w:val="18"/>
              </w:rPr>
              <w:t>Claim–Cost Wedge</w:t>
            </w:r>
          </w:p>
        </w:tc>
      </w:tr>
      <w:tr>
        <w:trPr/>
        <w:tc>
          <w:tcPr>
            <w:tcW w:type="dxa" w:w="3401"/>
            <w:vAlign w:val="center"/>
            <w:tcMar>
              <w:top w:w="80" w:type="dxa"/>
              <w:left w:w="80" w:type="dxa"/>
              <w:bottom w:w="80" w:type="dxa"/>
              <w:right w:w="80" w:type="dxa"/>
            </w:tcMar>
          </w:tcPr>
          <w:p>
            <w:pPr>
              <w:bidi w:val="1"/>
              <w:jc w:val="center"/>
            </w:pPr>
            <w:r>
              <w:rPr>
                <w:sz w:val="18"/>
                <w:rFonts w:cs="B Lotus" w:hAnsi="Times New Roman" w:ascii="Times New Roman"/>
              </w:rPr>
              <w:t>تجزیه‌ی واریانس ناسازگاری</w:t>
            </w:r>
          </w:p>
        </w:tc>
        <w:tc>
          <w:tcPr>
            <w:tcW w:type="dxa" w:w="3401"/>
            <w:vAlign w:val="center"/>
            <w:tcMar>
              <w:top w:w="80" w:type="dxa"/>
              <w:left w:w="80" w:type="dxa"/>
              <w:bottom w:w="80" w:type="dxa"/>
              <w:right w:w="80" w:type="dxa"/>
            </w:tcMar>
          </w:tcPr>
          <w:p>
            <w:pPr>
              <w:jc w:val="center"/>
            </w:pPr>
            <w:r>
              <w:rPr>
                <w:rFonts w:ascii="Times New Roman" w:hAnsi="Times New Roman"/>
                <w:sz w:val="18"/>
              </w:rPr>
              <w:t>Variance Decomposition</w:t>
            </w:r>
          </w:p>
        </w:tc>
      </w:tr>
      <w:tr>
        <w:trPr/>
        <w:tc>
          <w:tcPr>
            <w:tcW w:type="dxa" w:w="3401"/>
            <w:vAlign w:val="center"/>
            <w:tcMar>
              <w:top w:w="80" w:type="dxa"/>
              <w:left w:w="80" w:type="dxa"/>
              <w:bottom w:w="80" w:type="dxa"/>
              <w:right w:w="80" w:type="dxa"/>
            </w:tcMar>
          </w:tcPr>
          <w:p>
            <w:pPr>
              <w:bidi w:val="1"/>
              <w:jc w:val="center"/>
            </w:pPr>
            <w:r>
              <w:rPr>
                <w:sz w:val="18"/>
                <w:rFonts w:cs="B Lotus" w:hAnsi="Times New Roman" w:ascii="Times New Roman"/>
              </w:rPr>
              <w:t>هالگت · رینالدی · براون و کلارک</w:t>
            </w:r>
          </w:p>
        </w:tc>
        <w:tc>
          <w:tcPr>
            <w:tcW w:type="dxa" w:w="3401"/>
            <w:vAlign w:val="center"/>
            <w:tcMar>
              <w:top w:w="80" w:type="dxa"/>
              <w:left w:w="80" w:type="dxa"/>
              <w:bottom w:w="80" w:type="dxa"/>
              <w:right w:w="80" w:type="dxa"/>
            </w:tcMar>
          </w:tcPr>
          <w:p>
            <w:pPr>
              <w:jc w:val="center"/>
            </w:pPr>
            <w:r>
              <w:rPr>
                <w:rFonts w:ascii="Times New Roman" w:hAnsi="Times New Roman"/>
                <w:sz w:val="18"/>
              </w:rPr>
              <w:t>Hallegatte · Rinaldi · Braun &amp; Clarke</w:t>
            </w:r>
          </w:p>
        </w:tc>
      </w:tr>
    </w:tbl>
    <w:p>
      <w:r>
        <w:br/>
      </w:r>
    </w:p>
    <w:p>
      <w:pPr>
        <w:pStyle w:val="a"/>
        <w:bidi w:val="1"/>
        <w:jc w:val="both"/>
        <w:spacing w:before="60" w:after="60" w:line="259" w:lineRule="auto"/>
      </w:pPr>
      <w:r>
        <w:rPr>
          <w:b/>
        </w:rPr>
        <w:t>یادداشت واحدها:</w:t>
      </w:r>
      <w:r>
        <w:t xml:space="preserve"> در سراسر مقاله، «همت» به معنای هزار میلیارد تومان و «م.ر» به معنای میلیون ریال است.</w:t>
      </w:r>
    </w:p>
    <w:p>
      <w:pPr>
        <w:pBdr>
          <w:bottom w:val="single" w:sz="4" w:space="1" w:color="B9C4CA"/>
        </w:pBdr>
        <w:spacing w:before="120" w:after="120" w:line="240" w:lineRule="auto"/>
      </w:pPr>
      <w:r/>
    </w:p>
    <w:p>
      <w:pPr>
        <w:pBdr>
          <w:bottom w:val="single" w:sz="4" w:space="1" w:color="B9C4CA"/>
        </w:pBdr>
        <w:spacing w:before="120" w:after="120" w:line="240" w:lineRule="auto"/>
      </w:pPr>
      <w:r/>
    </w:p>
    <w:sectPr w:rsidR="00E56C58" w:rsidRPr="00D53855" w:rsidSect="00A16032">
      <w:headerReference w:type="even" r:id="rId10"/>
      <w:headerReference w:type="default" r:id="rId11"/>
      <w:footerReference w:type="even" r:id="rId12"/>
      <w:footerReference w:type="default" r:id="rId13"/>
      <w:headerReference w:type="first" r:id="rId14"/>
      <w:footerReference w:type="first" r:id="rId15"/>
      <w:footnotePr>
        <w:numRestart w:val="eachPage"/>
      </w:footnotePr>
      <w:pgSz w:w="11906" w:h="16838"/>
      <w:pgMar w:top="3005" w:right="2552" w:bottom="3005" w:left="2552" w:header="2381" w:footer="720" w:gutter="0"/>
      <w:cols w:space="720"/>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1540AD" w14:textId="77777777" w:rsidR="00310B00" w:rsidRDefault="00310B00" w:rsidP="00C6489B">
      <w:pPr>
        <w:spacing w:after="0" w:line="240" w:lineRule="auto"/>
      </w:pPr>
      <w:r>
        <w:separator/>
      </w:r>
    </w:p>
  </w:endnote>
  <w:endnote w:type="continuationSeparator" w:id="0">
    <w:p w14:paraId="461A84E9" w14:textId="77777777" w:rsidR="00310B00" w:rsidRDefault="00310B00" w:rsidP="00C648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embedRegular r:id="rId1" w:fontKey="{8438716E-E766-48A7-A10F-41BA1B673A8F}"/>
    <w:embedBold r:id="rId2" w:fontKey="{44D3F4BB-0236-4EAB-A4D4-BA236B19D45D}"/>
    <w:embedItalic r:id="rId3" w:fontKey="{82803611-C9B6-4E2D-A2E2-94C36FA532A0}"/>
  </w:font>
  <w:font w:name="Symbol">
    <w:panose1 w:val="05050102010706020507"/>
    <w:charset w:val="02"/>
    <w:family w:val="roman"/>
    <w:pitch w:val="variable"/>
    <w:sig w:usb0="00000000" w:usb1="10000000" w:usb2="00000000" w:usb3="00000000" w:csb0="80000000" w:csb1="00000000"/>
    <w:embedRegular r:id="rId4" w:fontKey="{B800739B-19DD-41D8-A78B-A17CF00B9DAD}"/>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embedRegular r:id="rId5" w:fontKey="{35C48A7F-1854-427D-AA50-958AB981EA34}"/>
  </w:font>
  <w:font w:name="Calibri">
    <w:panose1 w:val="020F0502020204030204"/>
    <w:charset w:val="00"/>
    <w:family w:val="swiss"/>
    <w:pitch w:val="variable"/>
    <w:sig w:usb0="E4002EFF" w:usb1="C200247B" w:usb2="00000009" w:usb3="00000000" w:csb0="000001FF" w:csb1="00000000"/>
    <w:embedRegular r:id="rId6" w:fontKey="{E7B05B67-C26D-4C65-A90D-EC1D9887285E}"/>
    <w:embedBold r:id="rId7" w:fontKey="{6B3F9A5B-7407-417A-A50E-3890DA5E18FC}"/>
  </w:font>
  <w:font w:name="Arial">
    <w:panose1 w:val="020B0604020202020204"/>
    <w:charset w:val="00"/>
    <w:family w:val="swiss"/>
    <w:pitch w:val="variable"/>
    <w:sig w:usb0="E0002EFF" w:usb1="C000785B" w:usb2="00000009" w:usb3="00000000" w:csb0="000001FF" w:csb1="00000000"/>
    <w:embedRegular r:id="rId8" w:subsetted="1" w:fontKey="{8C5449F5-7F91-4558-ABCC-D0F0F1619FE5}"/>
    <w:embedBold r:id="rId9" w:subsetted="1" w:fontKey="{0C6E9E0A-95AA-4B97-8EBA-CBC1EC85737B}"/>
  </w:font>
  <w:font w:name="Calibri Light">
    <w:panose1 w:val="020F0302020204030204"/>
    <w:charset w:val="00"/>
    <w:family w:val="swiss"/>
    <w:pitch w:val="variable"/>
    <w:sig w:usb0="E4002EFF" w:usb1="C200247B" w:usb2="00000009" w:usb3="00000000" w:csb0="000001FF" w:csb1="00000000"/>
  </w:font>
  <w:font w:name="B Lotus">
    <w:panose1 w:val="00000400000000000000"/>
    <w:charset w:val="B2"/>
    <w:family w:val="auto"/>
    <w:pitch w:val="variable"/>
    <w:sig w:usb0="00002001" w:usb1="80000000" w:usb2="00000008" w:usb3="00000000" w:csb0="00000040" w:csb1="00000000"/>
    <w:embedRegular r:id="rId10" w:fontKey="{88A0C00C-2E80-42D2-BA7B-9F3CC1096A51}"/>
    <w:embedBold r:id="rId11" w:fontKey="{BC70F314-94D4-4B67-B466-CEF0D17BA032}"/>
  </w:font>
  <w:font w:name="B Zar">
    <w:panose1 w:val="00000400000000000000"/>
    <w:charset w:val="B2"/>
    <w:family w:val="auto"/>
    <w:pitch w:val="variable"/>
    <w:sig w:usb0="00002001" w:usb1="80000000" w:usb2="00000008" w:usb3="00000000" w:csb0="00000040" w:csb1="00000000"/>
    <w:embedRegular r:id="rId12" w:fontKey="{126FAD15-C9BC-473D-B5C7-A417CF7121A2}"/>
    <w:embedBold r:id="rId13" w:fontKey="{C018DF16-E471-4B24-B5E8-F32C34AAB788}"/>
    <w:embedItalic r:id="rId14" w:fontKey="{CA05F778-B555-44CA-B8BB-BEB7127C6CC7}"/>
  </w:font>
  <w:font w:name="Times New Roman Bold">
    <w:panose1 w:val="020208030705050203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B Compset">
    <w:panose1 w:val="00000400000000000000"/>
    <w:charset w:val="B2"/>
    <w:family w:val="auto"/>
    <w:pitch w:val="variable"/>
    <w:sig w:usb0="00002001" w:usb1="80000000" w:usb2="00000008" w:usb3="00000000" w:csb0="00000040" w:csb1="00000000"/>
    <w:embedRegular r:id="rId15" w:fontKey="{3A625DB5-FE62-458E-97B1-CD45EDB67038}"/>
    <w:embedBold r:id="rId16" w:fontKey="{1D9304F1-42B7-4096-8A7E-0AD1DC5ECD75}"/>
  </w:font>
  <w:font w:name="Times">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embedRegular r:id="rId17" w:subsetted="1" w:fontKey="{DEA546F8-08F8-4CE5-A68F-84354EF52896}"/>
  </w:font>
  <w:font w:name="B Titr">
    <w:panose1 w:val="000007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C1CB4C" w14:textId="77777777" w:rsidR="00C64CE2" w:rsidRDefault="00C64C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E0D71" w14:textId="77777777" w:rsidR="00C64CE2" w:rsidRDefault="00C64CE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A7C9B7" w14:textId="77777777" w:rsidR="00C64CE2" w:rsidRDefault="00C64C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B559B0" w14:textId="77777777" w:rsidR="00310B00" w:rsidRPr="00A16032" w:rsidRDefault="00310B00" w:rsidP="00A16032">
      <w:pPr>
        <w:spacing w:after="0" w:line="240" w:lineRule="auto"/>
        <w:rPr>
          <w:sz w:val="4"/>
          <w:szCs w:val="4"/>
        </w:rPr>
      </w:pPr>
      <w:r w:rsidRPr="00A16032">
        <w:rPr>
          <w:sz w:val="4"/>
          <w:szCs w:val="4"/>
        </w:rPr>
        <w:continuationSeparator/>
      </w:r>
    </w:p>
  </w:footnote>
  <w:footnote w:type="continuationSeparator" w:id="0">
    <w:p w14:paraId="647CF68B" w14:textId="77777777" w:rsidR="00310B00" w:rsidRDefault="00310B00" w:rsidP="00C6489B">
      <w:pPr>
        <w:spacing w:after="0" w:line="240" w:lineRule="auto"/>
      </w:pPr>
      <w:r>
        <w:continuationSeparator/>
      </w:r>
    </w:p>
  </w:footnote>
  <w:footnote w:id="1">
    <w:p w14:paraId="3045ABE3" w14:textId="77777777" w:rsidR="00AF41FC" w:rsidRDefault="00AF41FC" w:rsidP="00AF41FC">
      <w:pPr>
        <w:pStyle w:val="FootnoteText"/>
        <w:shd w:val="clear" w:color="auto" w:fill="DEEAF6" w:themeFill="accent1" w:themeFillTint="33"/>
        <w:bidi w:val="0"/>
        <w:rPr>
          <w:rFonts w:asciiTheme="majorBidi" w:hAnsiTheme="majorBidi" w:cstheme="majorBidi"/>
        </w:rPr>
      </w:pPr>
      <w:r w:rsidRPr="00D47BAB">
        <w:rPr>
          <w:rStyle w:val="FootnoteReference"/>
          <w:rFonts w:asciiTheme="majorBidi" w:hAnsiTheme="majorBidi" w:cstheme="majorBidi"/>
          <w:vertAlign w:val="baseline"/>
          <w:rtl/>
        </w:rPr>
        <w:sym w:font="Symbol" w:char="F02A"/>
      </w:r>
      <w:r w:rsidRPr="00D47BAB">
        <w:rPr>
          <w:rFonts w:asciiTheme="majorBidi" w:hAnsiTheme="majorBidi" w:cstheme="majorBidi"/>
          <w:rtl/>
        </w:rPr>
        <w:t xml:space="preserve"> </w:t>
      </w:r>
      <w:r w:rsidRPr="00D47BAB">
        <w:rPr>
          <w:rFonts w:asciiTheme="majorBidi" w:hAnsiTheme="majorBidi" w:cstheme="majorBidi"/>
        </w:rPr>
        <w:t>Corresponding Author: Email Address</w:t>
      </w:r>
    </w:p>
    <w:p w14:paraId="7BDFFC1A" w14:textId="77777777" w:rsidR="00AF41FC" w:rsidRPr="00D47BAB" w:rsidRDefault="00AF41FC" w:rsidP="00AF41FC">
      <w:pPr>
        <w:pStyle w:val="FootnoteText"/>
        <w:shd w:val="clear" w:color="auto" w:fill="DEEAF6" w:themeFill="accent1" w:themeFillTint="33"/>
        <w:bidi w:val="0"/>
        <w:rPr>
          <w:rFonts w:asciiTheme="majorBidi" w:hAnsiTheme="majorBidi" w:cstheme="majorBidi"/>
          <w:b/>
          <w:bCs/>
        </w:rPr>
      </w:pPr>
      <w:r>
        <w:rPr>
          <w:rFonts w:asciiTheme="majorBidi" w:hAnsiTheme="majorBidi" w:cstheme="majorBidi"/>
          <w:b/>
          <w:bCs/>
        </w:rPr>
        <w:t>How to Cite</w:t>
      </w:r>
      <w:r w:rsidRPr="00D47BAB">
        <w:rPr>
          <w:rFonts w:asciiTheme="majorBidi" w:hAnsiTheme="majorBidi" w:cstheme="majorBidi"/>
          <w:b/>
          <w:bCs/>
        </w:rPr>
        <w:t xml:space="preserve">: </w:t>
      </w:r>
      <w:proofErr w:type="spellStart"/>
      <w:r w:rsidRPr="005238F6">
        <w:rPr>
          <w:rFonts w:asciiTheme="majorBidi" w:hAnsiTheme="majorBidi" w:cstheme="majorBidi"/>
        </w:rPr>
        <w:t>xxxxxxx</w:t>
      </w:r>
      <w:proofErr w:type="spellEnd"/>
    </w:p>
  </w:footnote>
  <w:footnote w:id="2">
    <w:p w14:paraId="5AD76D13" w14:textId="77777777" w:rsidR="00436A5C" w:rsidRPr="00EA198D" w:rsidRDefault="00436A5C" w:rsidP="0045045E">
      <w:pPr>
        <w:pStyle w:val="FootnoteText"/>
        <w:shd w:val="clear" w:color="auto" w:fill="DEEAF6" w:themeFill="accent1" w:themeFillTint="33"/>
      </w:pPr>
      <w:r w:rsidRPr="00EA198D">
        <w:rPr>
          <w:rStyle w:val="FootnoteReference"/>
          <w:rtl/>
        </w:rPr>
        <w:sym w:font="Symbol" w:char="F020"/>
      </w:r>
      <w:r w:rsidRPr="00EA198D">
        <w:rPr>
          <w:rtl/>
        </w:rPr>
        <w:t xml:space="preserve"> </w:t>
      </w:r>
      <w:r w:rsidRPr="00EA198D">
        <w:rPr>
          <w:rFonts w:cs="B Zar" w:hint="cs"/>
          <w:rtl/>
        </w:rPr>
        <w:t>مقاله حاضر برگرفته از رساله دکتری</w:t>
      </w:r>
      <w:r w:rsidR="00F66DBD">
        <w:rPr>
          <w:rFonts w:cs="B Zar" w:hint="cs"/>
          <w:rtl/>
        </w:rPr>
        <w:t xml:space="preserve"> </w:t>
      </w:r>
      <w:r w:rsidRPr="00EA198D">
        <w:rPr>
          <w:rFonts w:cs="B Zar" w:hint="cs"/>
          <w:rtl/>
        </w:rPr>
        <w:t xml:space="preserve">رشته </w:t>
      </w:r>
      <w:r>
        <w:rPr>
          <w:rFonts w:cs="B Zar" w:hint="cs"/>
          <w:rtl/>
        </w:rPr>
        <w:t>.....</w:t>
      </w:r>
      <w:r w:rsidRPr="00EA198D">
        <w:rPr>
          <w:rFonts w:cs="B Zar" w:hint="cs"/>
          <w:rtl/>
        </w:rPr>
        <w:t xml:space="preserve"> دانشگاه </w:t>
      </w:r>
      <w:r>
        <w:rPr>
          <w:rFonts w:cs="B Zar" w:hint="cs"/>
          <w:rtl/>
        </w:rPr>
        <w:t>.......</w:t>
      </w:r>
      <w:r w:rsidRPr="00EA198D">
        <w:rPr>
          <w:rFonts w:cs="B Zar" w:hint="cs"/>
          <w:rtl/>
        </w:rPr>
        <w:t xml:space="preserve"> است</w:t>
      </w:r>
      <w:r>
        <w:rPr>
          <w:rFonts w:hint="cs"/>
          <w:rtl/>
        </w:rPr>
        <w:t>.</w:t>
      </w:r>
    </w:p>
  </w:footnote>
  <w:footnote w:id="3">
    <w:p w14:paraId="15806705" w14:textId="77777777" w:rsidR="00531940" w:rsidRPr="00B56070" w:rsidRDefault="00531940" w:rsidP="00531940">
      <w:pPr>
        <w:pStyle w:val="FootnoteText"/>
        <w:shd w:val="clear" w:color="auto" w:fill="DEEAF6" w:themeFill="accent1" w:themeFillTint="33"/>
        <w:spacing w:line="216" w:lineRule="auto"/>
        <w:rPr>
          <w:rFonts w:cs="B Zar"/>
        </w:rPr>
      </w:pPr>
      <w:r w:rsidRPr="00F66DBD">
        <w:rPr>
          <w:rStyle w:val="FootnoteReference"/>
          <w:rFonts w:cs="Sakkal Majalla"/>
          <w:rtl/>
        </w:rPr>
        <w:sym w:font="Wingdings" w:char="F0AF"/>
      </w:r>
      <w:r>
        <w:rPr>
          <w:rFonts w:cs="Sakkal Majalla"/>
          <w:rtl/>
        </w:rPr>
        <w:t xml:space="preserve"> </w:t>
      </w:r>
      <w:r>
        <w:rPr>
          <w:rFonts w:cs="B Zar" w:hint="cs"/>
          <w:rtl/>
        </w:rPr>
        <w:t xml:space="preserve">نویسنده مسئول: </w:t>
      </w:r>
      <w:proofErr w:type="spellStart"/>
      <w:r>
        <w:rPr>
          <w:rFonts w:asciiTheme="majorBidi" w:hAnsiTheme="majorBidi" w:cstheme="majorBidi"/>
        </w:rPr>
        <w:t>Emali</w:t>
      </w:r>
      <w:proofErr w:type="spellEnd"/>
      <w:r>
        <w:rPr>
          <w:rFonts w:asciiTheme="majorBidi" w:hAnsiTheme="majorBidi" w:cstheme="majorBidi"/>
        </w:rPr>
        <w:t xml:space="preserve"> Address</w:t>
      </w:r>
      <w:r>
        <w:rPr>
          <w:rFonts w:asciiTheme="majorBidi" w:hAnsiTheme="majorBidi" w:cstheme="majorBidi" w:hint="cs"/>
          <w:rtl/>
        </w:rPr>
        <w:t xml:space="preserve"> </w:t>
      </w:r>
      <w:r w:rsidRPr="00116181">
        <w:rPr>
          <w:rFonts w:asciiTheme="majorBidi" w:hAnsiTheme="majorBidi" w:cs="B Zar" w:hint="cs"/>
          <w:rtl/>
        </w:rPr>
        <w:t xml:space="preserve">(ترجیحا سازمانی) </w:t>
      </w:r>
      <w:r w:rsidRPr="003F0932">
        <w:rPr>
          <w:rFonts w:cs="B Zar" w:hint="cs"/>
          <w:color w:val="FF0000"/>
          <w:rtl/>
        </w:rPr>
        <w:t>(قلم بی زر، سایز 10)</w:t>
      </w:r>
    </w:p>
  </w:footnote>
  <w:footnote w:id="4">
    <w:p w14:paraId="497F85DF" w14:textId="77777777" w:rsidR="00A16032" w:rsidRDefault="00A16032" w:rsidP="00A45EEB">
      <w:pPr>
        <w:pStyle w:val="FootnoteText"/>
        <w:shd w:val="clear" w:color="auto" w:fill="DEEAF6" w:themeFill="accent1" w:themeFillTint="33"/>
        <w:rPr>
          <w:rFonts w:cs="B Zar"/>
        </w:rPr>
      </w:pPr>
      <w:r w:rsidRPr="006F2A07">
        <w:rPr>
          <w:rStyle w:val="FootnoteReference"/>
          <w:rFonts w:cs="B Zar"/>
          <w:b/>
          <w:bCs/>
          <w:rtl/>
        </w:rPr>
        <w:sym w:font="Symbol" w:char="F020"/>
      </w:r>
      <w:r w:rsidRPr="006F2A07">
        <w:rPr>
          <w:rFonts w:cs="B Zar" w:hint="cs"/>
          <w:b/>
          <w:bCs/>
          <w:rtl/>
        </w:rPr>
        <w:t>استناد به این مقاله:</w:t>
      </w:r>
      <w:r w:rsidR="00E42CF9" w:rsidRPr="006F2A07">
        <w:rPr>
          <w:rFonts w:cs="B Zar" w:hint="cs"/>
          <w:b/>
          <w:bCs/>
          <w:rtl/>
        </w:rPr>
        <w:t xml:space="preserve"> </w:t>
      </w:r>
      <w:r w:rsidR="00E42CF9" w:rsidRPr="006F2A07">
        <w:rPr>
          <w:rFonts w:cs="B Zar" w:hint="cs"/>
          <w:rtl/>
        </w:rPr>
        <w:t>نام</w:t>
      </w:r>
      <w:r w:rsidR="00E42CF9">
        <w:rPr>
          <w:rFonts w:cs="B Zar" w:hint="cs"/>
          <w:rtl/>
        </w:rPr>
        <w:t xml:space="preserve"> خانوادگی نویسنده اول، </w:t>
      </w:r>
      <w:r w:rsidR="001B6621">
        <w:rPr>
          <w:rFonts w:cs="B Zar" w:hint="cs"/>
          <w:rtl/>
        </w:rPr>
        <w:t xml:space="preserve">نام. (سال). عنوان مقاله. </w:t>
      </w:r>
      <w:r w:rsidR="001B6621" w:rsidRPr="001B6621">
        <w:rPr>
          <w:rFonts w:cs="B Zar" w:hint="cs"/>
          <w:i/>
          <w:iCs/>
          <w:rtl/>
        </w:rPr>
        <w:t>عنوان نشریه (ایتالیک)</w:t>
      </w:r>
      <w:r w:rsidR="001B6621">
        <w:rPr>
          <w:rFonts w:cs="B Zar" w:hint="cs"/>
          <w:rtl/>
        </w:rPr>
        <w:t>، سال(شماره)، ص آغاز-ص پایان.</w:t>
      </w:r>
    </w:p>
    <w:p w14:paraId="3C3F8C09" w14:textId="77777777" w:rsidR="007A3768" w:rsidRPr="006F2A07" w:rsidRDefault="006F2A07" w:rsidP="00A45EEB">
      <w:pPr>
        <w:shd w:val="clear" w:color="auto" w:fill="DEEAF6" w:themeFill="accent1" w:themeFillTint="33"/>
        <w:bidi w:val="0"/>
        <w:spacing w:after="0"/>
        <w:jc w:val="both"/>
        <w:rPr>
          <w:rFonts w:asciiTheme="majorBidi" w:hAnsiTheme="majorBidi" w:cstheme="majorBidi"/>
          <w:sz w:val="20"/>
          <w:szCs w:val="20"/>
          <w:rtl/>
        </w:rPr>
      </w:pPr>
      <w:r w:rsidRPr="006F2A07">
        <w:rPr>
          <w:rFonts w:asciiTheme="majorBidi" w:hAnsiTheme="majorBidi" w:cstheme="majorBidi"/>
          <w:noProof/>
          <w:lang w:bidi="ar-SA"/>
        </w:rPr>
        <w:drawing>
          <wp:inline distT="0" distB="0" distL="0" distR="0" wp14:anchorId="3700F75D" wp14:editId="3B1E6E72">
            <wp:extent cx="684000" cy="240954"/>
            <wp:effectExtent l="0" t="0" r="1905" b="6985"/>
            <wp:docPr id="10" name="Picture 10" descr="C:\Users\Raz\Desktop\88x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Raz\Desktop\88x3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4000" cy="240954"/>
                    </a:xfrm>
                    <a:prstGeom prst="rect">
                      <a:avLst/>
                    </a:prstGeom>
                    <a:noFill/>
                    <a:ln>
                      <a:noFill/>
                    </a:ln>
                  </pic:spPr>
                </pic:pic>
              </a:graphicData>
            </a:graphic>
          </wp:inline>
        </w:drawing>
      </w:r>
      <w:r>
        <w:rPr>
          <w:rFonts w:asciiTheme="majorBidi" w:hAnsiTheme="majorBidi" w:cstheme="majorBidi"/>
          <w:sz w:val="20"/>
          <w:szCs w:val="20"/>
        </w:rPr>
        <w:t xml:space="preserve"> </w:t>
      </w:r>
      <w:r w:rsidRPr="006F2A07">
        <w:rPr>
          <w:rFonts w:asciiTheme="majorBidi" w:hAnsiTheme="majorBidi" w:cstheme="majorBidi"/>
          <w:sz w:val="20"/>
          <w:szCs w:val="20"/>
          <w:highlight w:val="yellow"/>
        </w:rPr>
        <w:t>Name of Journal</w:t>
      </w:r>
      <w:r w:rsidRPr="006F2A07">
        <w:rPr>
          <w:rFonts w:asciiTheme="majorBidi" w:hAnsiTheme="majorBidi" w:cstheme="majorBidi"/>
          <w:sz w:val="20"/>
          <w:szCs w:val="20"/>
        </w:rPr>
        <w:t xml:space="preserve"> is licensed under a Creative Commons Attribution-</w:t>
      </w:r>
      <w:proofErr w:type="spellStart"/>
      <w:r w:rsidRPr="006F2A07">
        <w:rPr>
          <w:rFonts w:asciiTheme="majorBidi" w:hAnsiTheme="majorBidi" w:cstheme="majorBidi"/>
          <w:sz w:val="20"/>
          <w:szCs w:val="20"/>
        </w:rPr>
        <w:t>NonCommercial</w:t>
      </w:r>
      <w:proofErr w:type="spellEnd"/>
      <w:r w:rsidRPr="006F2A07">
        <w:rPr>
          <w:rFonts w:asciiTheme="majorBidi" w:hAnsiTheme="majorBidi" w:cstheme="majorBidi"/>
          <w:sz w:val="20"/>
          <w:szCs w:val="20"/>
        </w:rPr>
        <w:t xml:space="preserve"> 4.0 International License.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8F7386" w14:textId="77777777" w:rsidR="00A16032" w:rsidRPr="00A16032" w:rsidRDefault="00A16032" w:rsidP="00C64CE2">
    <w:pPr>
      <w:pStyle w:val="Header"/>
      <w:rPr>
        <w:rFonts w:cs="B Compset"/>
        <w:b/>
        <w:bCs/>
        <w:sz w:val="20"/>
        <w:szCs w:val="20"/>
      </w:rPr>
    </w:pPr>
    <w:r w:rsidRPr="006F2A07">
      <w:rPr>
        <w:rFonts w:cs="B Compset"/>
        <w:b/>
        <w:bCs/>
        <w:sz w:val="20"/>
        <w:szCs w:val="20"/>
        <w:shd w:val="clear" w:color="auto" w:fill="9CC2E5" w:themeFill="accent1" w:themeFillTint="99"/>
      </w:rPr>
      <w:fldChar w:fldCharType="begin"/>
    </w:r>
    <w:r w:rsidRPr="006F2A07">
      <w:rPr>
        <w:rFonts w:cs="B Compset"/>
        <w:b/>
        <w:bCs/>
        <w:sz w:val="20"/>
        <w:szCs w:val="20"/>
        <w:shd w:val="clear" w:color="auto" w:fill="9CC2E5" w:themeFill="accent1" w:themeFillTint="99"/>
      </w:rPr>
      <w:instrText xml:space="preserve"> PAGE   \* MERGEFORMAT </w:instrText>
    </w:r>
    <w:r w:rsidRPr="006F2A07">
      <w:rPr>
        <w:rFonts w:cs="B Compset"/>
        <w:b/>
        <w:bCs/>
        <w:sz w:val="20"/>
        <w:szCs w:val="20"/>
        <w:shd w:val="clear" w:color="auto" w:fill="9CC2E5" w:themeFill="accent1" w:themeFillTint="99"/>
      </w:rPr>
      <w:fldChar w:fldCharType="separate"/>
    </w:r>
    <w:r w:rsidR="00553C23">
      <w:rPr>
        <w:rFonts w:cs="B Compset"/>
        <w:b/>
        <w:bCs/>
        <w:noProof/>
        <w:sz w:val="20"/>
        <w:szCs w:val="20"/>
        <w:shd w:val="clear" w:color="auto" w:fill="9CC2E5" w:themeFill="accent1" w:themeFillTint="99"/>
        <w:rtl/>
      </w:rPr>
      <w:t>12</w:t>
    </w:r>
    <w:r w:rsidRPr="006F2A07">
      <w:rPr>
        <w:rFonts w:cs="B Compset"/>
        <w:b/>
        <w:bCs/>
        <w:noProof/>
        <w:sz w:val="20"/>
        <w:szCs w:val="20"/>
        <w:shd w:val="clear" w:color="auto" w:fill="9CC2E5" w:themeFill="accent1" w:themeFillTint="99"/>
      </w:rPr>
      <w:fldChar w:fldCharType="end"/>
    </w:r>
    <w:r w:rsidRPr="006F2A07">
      <w:rPr>
        <w:rFonts w:cs="B Compset"/>
        <w:b/>
        <w:bCs/>
        <w:sz w:val="20"/>
        <w:szCs w:val="20"/>
        <w:shd w:val="clear" w:color="auto" w:fill="9CC2E5" w:themeFill="accent1" w:themeFillTint="99"/>
      </w:rPr>
      <w:t xml:space="preserve"> | </w:t>
    </w:r>
    <w:r w:rsidRPr="006F2A07">
      <w:rPr>
        <w:rFonts w:cs="B Compset" w:hint="cs"/>
        <w:b/>
        <w:bCs/>
        <w:sz w:val="20"/>
        <w:szCs w:val="20"/>
        <w:shd w:val="clear" w:color="auto" w:fill="9CC2E5" w:themeFill="accent1" w:themeFillTint="99"/>
        <w:rtl/>
      </w:rPr>
      <w:t>ن</w:t>
    </w:r>
    <w:r w:rsidRPr="00546254">
      <w:rPr>
        <w:rFonts w:cs="B Compset" w:hint="cs"/>
        <w:b/>
        <w:bCs/>
        <w:sz w:val="20"/>
        <w:szCs w:val="20"/>
        <w:shd w:val="clear" w:color="auto" w:fill="9CC2E5" w:themeFill="accent1" w:themeFillTint="99"/>
        <w:rtl/>
      </w:rPr>
      <w:t>ام مجله</w:t>
    </w:r>
    <w:r w:rsidR="00546254" w:rsidRPr="00546254">
      <w:rPr>
        <w:rFonts w:cs="B Compset" w:hint="cs"/>
        <w:b/>
        <w:bCs/>
        <w:sz w:val="20"/>
        <w:szCs w:val="20"/>
        <w:shd w:val="clear" w:color="auto" w:fill="9CC2E5" w:themeFill="accent1" w:themeFillTint="99"/>
        <w:rtl/>
      </w:rPr>
      <w:t xml:space="preserve"> </w:t>
    </w:r>
    <w:r w:rsidR="00546254" w:rsidRPr="00A16032">
      <w:rPr>
        <w:rFonts w:cs="B Compset"/>
        <w:b/>
        <w:bCs/>
        <w:sz w:val="20"/>
        <w:szCs w:val="20"/>
      </w:rPr>
      <w:t xml:space="preserve"> |</w:t>
    </w:r>
    <w:r w:rsidR="00E42CF9">
      <w:rPr>
        <w:rFonts w:cs="B Compset" w:hint="cs"/>
        <w:b/>
        <w:bCs/>
        <w:sz w:val="20"/>
        <w:szCs w:val="20"/>
        <w:rtl/>
      </w:rPr>
      <w:t>سال ؟</w:t>
    </w:r>
    <w:r w:rsidR="00546254">
      <w:rPr>
        <w:rFonts w:cs="B Compset" w:hint="cs"/>
        <w:b/>
        <w:bCs/>
        <w:sz w:val="20"/>
        <w:szCs w:val="20"/>
        <w:rtl/>
      </w:rPr>
      <w:t xml:space="preserve"> </w:t>
    </w:r>
    <w:r w:rsidR="00546254" w:rsidRPr="00A16032">
      <w:rPr>
        <w:rFonts w:cs="B Compset"/>
        <w:b/>
        <w:bCs/>
        <w:sz w:val="20"/>
        <w:szCs w:val="20"/>
      </w:rPr>
      <w:t xml:space="preserve"> |</w:t>
    </w:r>
    <w:r w:rsidR="00E42CF9">
      <w:rPr>
        <w:rFonts w:cs="B Compset" w:hint="cs"/>
        <w:b/>
        <w:bCs/>
        <w:sz w:val="20"/>
        <w:szCs w:val="20"/>
        <w:rtl/>
      </w:rPr>
      <w:t>شماره ؟</w:t>
    </w:r>
    <w:r w:rsidR="00546254">
      <w:rPr>
        <w:rFonts w:cs="B Compset" w:hint="cs"/>
        <w:b/>
        <w:bCs/>
        <w:sz w:val="20"/>
        <w:szCs w:val="20"/>
        <w:rtl/>
      </w:rPr>
      <w:t xml:space="preserve"> </w:t>
    </w:r>
    <w:r w:rsidR="00546254" w:rsidRPr="00A16032">
      <w:rPr>
        <w:rFonts w:cs="B Compset"/>
        <w:b/>
        <w:bCs/>
        <w:sz w:val="20"/>
        <w:szCs w:val="20"/>
      </w:rPr>
      <w:t xml:space="preserve"> |</w:t>
    </w:r>
    <w:r w:rsidR="00C64CE2">
      <w:rPr>
        <w:rFonts w:cs="B Compset" w:hint="cs"/>
        <w:b/>
        <w:bCs/>
        <w:sz w:val="20"/>
        <w:szCs w:val="20"/>
        <w:rtl/>
      </w:rPr>
      <w:t xml:space="preserve">فصل سال </w:t>
    </w:r>
    <w:r w:rsidR="00546254" w:rsidRPr="00A16032">
      <w:rPr>
        <w:rFonts w:cs="B Compset"/>
        <w:b/>
        <w:bCs/>
        <w:sz w:val="20"/>
        <w:szCs w:val="20"/>
      </w:rPr>
      <w:t>|</w:t>
    </w:r>
    <w:r w:rsidR="00E42CF9">
      <w:rPr>
        <w:rFonts w:cs="B Compset" w:hint="cs"/>
        <w:b/>
        <w:bCs/>
        <w:sz w:val="20"/>
        <w:szCs w:val="20"/>
        <w:rtl/>
      </w:rPr>
      <w:t>سال اول</w:t>
    </w:r>
    <w:r w:rsidR="00546254">
      <w:rPr>
        <w:rFonts w:cs="B Compset" w:hint="cs"/>
        <w:b/>
        <w:bCs/>
        <w:sz w:val="20"/>
        <w:szCs w:val="20"/>
        <w:rtl/>
      </w:rPr>
      <w:t xml:space="preserve"> </w:t>
    </w:r>
    <w:r w:rsidR="00546254" w:rsidRPr="00A16032">
      <w:rPr>
        <w:rFonts w:cs="B Compset"/>
        <w:b/>
        <w:bCs/>
        <w:sz w:val="20"/>
        <w:szCs w:val="20"/>
      </w:rPr>
      <w:t xml:space="preserve"> |</w:t>
    </w:r>
    <w:r w:rsidR="00546254">
      <w:rPr>
        <w:rFonts w:cs="B Compset" w:hint="cs"/>
        <w:b/>
        <w:bCs/>
        <w:sz w:val="20"/>
        <w:szCs w:val="20"/>
        <w:rtl/>
      </w:rPr>
      <w:t xml:space="preserve">شماره 4 </w:t>
    </w:r>
    <w:r w:rsidR="00546254" w:rsidRPr="00A16032">
      <w:rPr>
        <w:rFonts w:cs="B Compset"/>
        <w:b/>
        <w:bCs/>
        <w:sz w:val="20"/>
        <w:szCs w:val="20"/>
      </w:rPr>
      <w:t xml:space="preserve"> |</w:t>
    </w:r>
    <w:r w:rsidR="00E42CF9">
      <w:rPr>
        <w:rFonts w:cs="B Compset" w:hint="cs"/>
        <w:b/>
        <w:bCs/>
        <w:sz w:val="20"/>
        <w:szCs w:val="20"/>
        <w:rtl/>
      </w:rPr>
      <w:t>زمستان 1395)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D8C6F" w14:textId="77777777" w:rsidR="00A16032" w:rsidRPr="00A16032" w:rsidRDefault="00A16032" w:rsidP="00392FC2">
    <w:pPr>
      <w:pStyle w:val="Header"/>
      <w:jc w:val="right"/>
      <w:rPr>
        <w:rFonts w:cs="B Compset"/>
        <w:b/>
        <w:bCs/>
        <w:sz w:val="20"/>
        <w:szCs w:val="20"/>
      </w:rPr>
    </w:pPr>
    <w:r w:rsidRPr="00A16032">
      <w:rPr>
        <w:rFonts w:cs="B Compset" w:hint="cs"/>
        <w:b/>
        <w:bCs/>
        <w:sz w:val="20"/>
        <w:szCs w:val="20"/>
        <w:rtl/>
      </w:rPr>
      <w:t>نام خانوادگی نویسنده اول</w:t>
    </w:r>
    <w:r w:rsidR="00F66DBD">
      <w:rPr>
        <w:rFonts w:cs="B Compset" w:hint="cs"/>
        <w:b/>
        <w:bCs/>
        <w:sz w:val="20"/>
        <w:szCs w:val="20"/>
        <w:rtl/>
      </w:rPr>
      <w:t xml:space="preserve"> و دوم (بیش از دو نویسنده نام خانوادگی نویسنده اول و همکاران</w:t>
    </w:r>
    <w:r w:rsidR="00392FC2">
      <w:rPr>
        <w:rFonts w:cs="B Compset" w:hint="cs"/>
        <w:b/>
        <w:bCs/>
        <w:sz w:val="20"/>
        <w:szCs w:val="20"/>
        <w:rtl/>
      </w:rPr>
      <w:t xml:space="preserve"> </w:t>
    </w:r>
    <w:r w:rsidRPr="006F2A07">
      <w:rPr>
        <w:rFonts w:cs="B Compset"/>
        <w:b/>
        <w:bCs/>
        <w:sz w:val="20"/>
        <w:szCs w:val="20"/>
        <w:shd w:val="clear" w:color="auto" w:fill="9CC2E5" w:themeFill="accent1" w:themeFillTint="99"/>
      </w:rPr>
      <w:t>|</w:t>
    </w:r>
    <w:r w:rsidR="00392FC2" w:rsidRPr="006F2A07">
      <w:rPr>
        <w:rFonts w:cs="B Compset" w:hint="cs"/>
        <w:b/>
        <w:bCs/>
        <w:sz w:val="20"/>
        <w:szCs w:val="20"/>
        <w:shd w:val="clear" w:color="auto" w:fill="9CC2E5" w:themeFill="accent1" w:themeFillTint="99"/>
        <w:rtl/>
      </w:rPr>
      <w:t xml:space="preserve"> </w:t>
    </w:r>
    <w:r w:rsidRPr="006F2A07">
      <w:rPr>
        <w:rFonts w:cs="B Compset"/>
        <w:b/>
        <w:bCs/>
        <w:sz w:val="20"/>
        <w:szCs w:val="20"/>
        <w:shd w:val="clear" w:color="auto" w:fill="9CC2E5" w:themeFill="accent1" w:themeFillTint="99"/>
      </w:rPr>
      <w:fldChar w:fldCharType="begin"/>
    </w:r>
    <w:r w:rsidRPr="006F2A07">
      <w:rPr>
        <w:rFonts w:cs="B Compset"/>
        <w:b/>
        <w:bCs/>
        <w:sz w:val="20"/>
        <w:szCs w:val="20"/>
        <w:shd w:val="clear" w:color="auto" w:fill="9CC2E5" w:themeFill="accent1" w:themeFillTint="99"/>
      </w:rPr>
      <w:instrText xml:space="preserve"> PAGE   \* MERGEFORMAT </w:instrText>
    </w:r>
    <w:r w:rsidRPr="006F2A07">
      <w:rPr>
        <w:rFonts w:cs="B Compset"/>
        <w:b/>
        <w:bCs/>
        <w:sz w:val="20"/>
        <w:szCs w:val="20"/>
        <w:shd w:val="clear" w:color="auto" w:fill="9CC2E5" w:themeFill="accent1" w:themeFillTint="99"/>
      </w:rPr>
      <w:fldChar w:fldCharType="separate"/>
    </w:r>
    <w:r w:rsidR="00553C23">
      <w:rPr>
        <w:rFonts w:cs="B Compset"/>
        <w:b/>
        <w:bCs/>
        <w:noProof/>
        <w:sz w:val="20"/>
        <w:szCs w:val="20"/>
        <w:shd w:val="clear" w:color="auto" w:fill="9CC2E5" w:themeFill="accent1" w:themeFillTint="99"/>
        <w:rtl/>
      </w:rPr>
      <w:t>13</w:t>
    </w:r>
    <w:r w:rsidRPr="006F2A07">
      <w:rPr>
        <w:rFonts w:cs="B Compset"/>
        <w:b/>
        <w:bCs/>
        <w:noProof/>
        <w:sz w:val="20"/>
        <w:szCs w:val="20"/>
        <w:shd w:val="clear" w:color="auto" w:fill="9CC2E5" w:themeFill="accent1" w:themeFillTint="99"/>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7F1056" w14:textId="77777777" w:rsidR="00392FC2" w:rsidRPr="002F0EE2" w:rsidRDefault="00A45EEB" w:rsidP="0013022C">
    <w:pPr>
      <w:pStyle w:val="ListParagraph"/>
      <w:bidi w:val="0"/>
      <w:spacing w:after="0" w:line="216" w:lineRule="auto"/>
      <w:rPr>
        <w:color w:val="2E74B5" w:themeColor="accent1" w:themeShade="BF"/>
        <w:sz w:val="22"/>
        <w:szCs w:val="22"/>
      </w:rPr>
    </w:pPr>
    <w:r w:rsidRPr="002F0EE2">
      <w:rPr>
        <w:rFonts w:cs="B Zar"/>
        <w:b w:val="0"/>
        <w:bCs w:val="0"/>
        <w:noProof/>
        <w:color w:val="2E74B5" w:themeColor="accent1" w:themeShade="BF"/>
        <w:sz w:val="22"/>
        <w:szCs w:val="22"/>
        <w:lang w:bidi="ar-SA"/>
      </w:rPr>
      <mc:AlternateContent>
        <mc:Choice Requires="wps">
          <w:drawing>
            <wp:anchor distT="45720" distB="45720" distL="114300" distR="114300" simplePos="0" relativeHeight="251661312" behindDoc="0" locked="0" layoutInCell="1" allowOverlap="1" wp14:anchorId="30352027" wp14:editId="011F4B1E">
              <wp:simplePos x="0" y="0"/>
              <wp:positionH relativeFrom="column">
                <wp:posOffset>4491033</wp:posOffset>
              </wp:positionH>
              <wp:positionV relativeFrom="paragraph">
                <wp:posOffset>1905</wp:posOffset>
              </wp:positionV>
              <wp:extent cx="359410" cy="7248525"/>
              <wp:effectExtent l="0" t="0" r="2540"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410" cy="7248525"/>
                      </a:xfrm>
                      <a:prstGeom prst="rect">
                        <a:avLst/>
                      </a:prstGeom>
                      <a:gradFill flip="none" rotWithShape="1">
                        <a:gsLst>
                          <a:gs pos="0">
                            <a:schemeClr val="accent1">
                              <a:tint val="66000"/>
                              <a:satMod val="160000"/>
                            </a:schemeClr>
                          </a:gs>
                          <a:gs pos="50000">
                            <a:schemeClr val="accent1">
                              <a:tint val="44500"/>
                              <a:satMod val="160000"/>
                            </a:schemeClr>
                          </a:gs>
                          <a:gs pos="100000">
                            <a:schemeClr val="accent1">
                              <a:tint val="23500"/>
                              <a:satMod val="160000"/>
                            </a:schemeClr>
                          </a:gs>
                        </a:gsLst>
                        <a:path path="circle">
                          <a:fillToRect l="50000" t="50000" r="50000" b="50000"/>
                        </a:path>
                        <a:tileRect/>
                      </a:gradFill>
                      <a:ln w="9525">
                        <a:noFill/>
                        <a:miter lim="800000"/>
                        <a:headEnd/>
                        <a:tailEnd/>
                      </a:ln>
                    </wps:spPr>
                    <wps:txbx>
                      <w:txbxContent>
                        <w:p w14:paraId="7960D71A" w14:textId="77777777" w:rsidR="00392FC2" w:rsidRPr="00411377" w:rsidRDefault="00D53855" w:rsidP="00D53855">
                          <w:pPr>
                            <w:tabs>
                              <w:tab w:val="left" w:pos="3371"/>
                            </w:tabs>
                            <w:spacing w:after="0" w:line="192" w:lineRule="auto"/>
                            <w:rPr>
                              <w:rFonts w:cs="B Compset"/>
                              <w:sz w:val="20"/>
                              <w:szCs w:val="20"/>
                            </w:rPr>
                          </w:pPr>
                          <w:r>
                            <w:rPr>
                              <w:rFonts w:cs="B Compset"/>
                              <w:sz w:val="20"/>
                              <w:szCs w:val="20"/>
                            </w:rPr>
                            <w:t>Original Rese</w:t>
                          </w:r>
                          <w:r w:rsidR="009D75BB">
                            <w:rPr>
                              <w:rFonts w:cs="B Compset"/>
                              <w:sz w:val="20"/>
                              <w:szCs w:val="20"/>
                            </w:rPr>
                            <w:t>a</w:t>
                          </w:r>
                          <w:r>
                            <w:rPr>
                              <w:rFonts w:cs="B Compset"/>
                              <w:sz w:val="20"/>
                              <w:szCs w:val="20"/>
                            </w:rPr>
                            <w:t>rch / Review / …</w:t>
                          </w:r>
                          <w:r w:rsidR="00392FC2" w:rsidRPr="00411377">
                            <w:rPr>
                              <w:rFonts w:cs="B Compset" w:hint="cs"/>
                              <w:sz w:val="20"/>
                              <w:szCs w:val="20"/>
                              <w:rtl/>
                            </w:rPr>
                            <w:t xml:space="preserve"> </w:t>
                          </w:r>
                          <w:r w:rsidR="00392FC2">
                            <w:rPr>
                              <w:rFonts w:cs="B Compset"/>
                              <w:sz w:val="20"/>
                              <w:szCs w:val="20"/>
                              <w:rtl/>
                            </w:rPr>
                            <w:tab/>
                          </w:r>
                          <w:r>
                            <w:rPr>
                              <w:rFonts w:cs="B Compset"/>
                              <w:sz w:val="20"/>
                              <w:szCs w:val="20"/>
                            </w:rPr>
                            <w:t>Received:</w:t>
                          </w:r>
                          <w:r>
                            <w:rPr>
                              <w:rFonts w:cs="B Compset"/>
                              <w:sz w:val="20"/>
                              <w:szCs w:val="20"/>
                            </w:rPr>
                            <w:tab/>
                          </w:r>
                          <w:r>
                            <w:rPr>
                              <w:rFonts w:cs="B Compset"/>
                              <w:sz w:val="20"/>
                              <w:szCs w:val="20"/>
                            </w:rPr>
                            <w:tab/>
                            <w:t>Accepted:</w:t>
                          </w:r>
                          <w:r w:rsidR="00392FC2" w:rsidRPr="00411377">
                            <w:rPr>
                              <w:rFonts w:cs="B Compset" w:hint="cs"/>
                              <w:sz w:val="20"/>
                              <w:szCs w:val="20"/>
                              <w:rtl/>
                            </w:rPr>
                            <w:t xml:space="preserve"> </w:t>
                          </w:r>
                          <w:r w:rsidR="002F0EE2">
                            <w:rPr>
                              <w:rFonts w:cs="B Compset"/>
                              <w:sz w:val="20"/>
                              <w:szCs w:val="20"/>
                              <w:rtl/>
                            </w:rPr>
                            <w:tab/>
                          </w:r>
                          <w:r w:rsidR="002F0EE2">
                            <w:rPr>
                              <w:rFonts w:cs="B Compset"/>
                              <w:sz w:val="20"/>
                              <w:szCs w:val="20"/>
                            </w:rPr>
                            <w:t>ISSN:</w:t>
                          </w:r>
                          <w:r w:rsidR="002F0EE2">
                            <w:rPr>
                              <w:rFonts w:cs="B Compset"/>
                              <w:sz w:val="20"/>
                              <w:szCs w:val="20"/>
                            </w:rPr>
                            <w:tab/>
                          </w:r>
                          <w:proofErr w:type="spellStart"/>
                          <w:r w:rsidR="00421640">
                            <w:rPr>
                              <w:rFonts w:cs="B Compset"/>
                              <w:sz w:val="20"/>
                              <w:szCs w:val="20"/>
                            </w:rPr>
                            <w:t>e</w:t>
                          </w:r>
                          <w:r w:rsidR="002F0EE2">
                            <w:rPr>
                              <w:rFonts w:cs="B Compset"/>
                              <w:sz w:val="20"/>
                              <w:szCs w:val="20"/>
                            </w:rPr>
                            <w:t>ISSN</w:t>
                          </w:r>
                          <w:proofErr w:type="spellEnd"/>
                          <w:r w:rsidR="002F0EE2">
                            <w:rPr>
                              <w:rFonts w:cs="B Compset"/>
                              <w:sz w:val="20"/>
                              <w:szCs w:val="20"/>
                            </w:rPr>
                            <w:t>:</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52598F" id="_x0000_t202" coordsize="21600,21600" o:spt="202" path="m,l,21600r21600,l21600,xe">
              <v:stroke joinstyle="miter"/>
              <v:path gradientshapeok="t" o:connecttype="rect"/>
            </v:shapetype>
            <v:shape id="Text Box 2" o:spid="_x0000_s1044" type="#_x0000_t202" style="position:absolute;left:0;text-align:left;margin-left:353.6pt;margin-top:.15pt;width:28.3pt;height:570.7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" fillcolor="#92bce3 [2132]" stroked="f">
              <v:fill color2="#d9e8f5 [756]" rotate="t" focusposition=".5,.5" focussize="" colors="0 #9ac3f6;.5 #c1d8f8;1 #e1ecfb" focus="100%" type="gradientRadial"/>
              <v:textbox style="layout-flow:vertical;mso-layout-flow-alt:bottom-to-top">
                <w:txbxContent>
                  <w:p w:rsidR="00392FC2" w:rsidRPr="00411377" w:rsidRDefault="00D53855" w:rsidP="00D53855">
                    <w:pPr>
                      <w:tabs>
                        <w:tab w:val="left" w:pos="3371"/>
                      </w:tabs>
                      <w:spacing w:after="0" w:line="192" w:lineRule="auto"/>
                      <w:rPr>
                        <w:rFonts w:cs="B Compset"/>
                        <w:sz w:val="20"/>
                        <w:szCs w:val="20"/>
                      </w:rPr>
                    </w:pPr>
                    <w:r>
                      <w:rPr>
                        <w:rFonts w:cs="B Compset"/>
                        <w:sz w:val="20"/>
                        <w:szCs w:val="20"/>
                      </w:rPr>
                      <w:t>Original Rese</w:t>
                    </w:r>
                    <w:r w:rsidR="009D75BB">
                      <w:rPr>
                        <w:rFonts w:cs="B Compset"/>
                        <w:sz w:val="20"/>
                        <w:szCs w:val="20"/>
                      </w:rPr>
                      <w:t>a</w:t>
                    </w:r>
                    <w:r>
                      <w:rPr>
                        <w:rFonts w:cs="B Compset"/>
                        <w:sz w:val="20"/>
                        <w:szCs w:val="20"/>
                      </w:rPr>
                      <w:t>rch / Review / …</w:t>
                    </w:r>
                    <w:r w:rsidR="00392FC2" w:rsidRPr="00411377">
                      <w:rPr>
                        <w:rFonts w:cs="B Compset" w:hint="cs"/>
                        <w:sz w:val="20"/>
                        <w:szCs w:val="20"/>
                        <w:rtl/>
                      </w:rPr>
                      <w:t xml:space="preserve"> </w:t>
                    </w:r>
                    <w:r w:rsidR="00392FC2">
                      <w:rPr>
                        <w:rFonts w:cs="B Compset"/>
                        <w:sz w:val="20"/>
                        <w:szCs w:val="20"/>
                        <w:rtl/>
                      </w:rPr>
                      <w:tab/>
                    </w:r>
                    <w:r>
                      <w:rPr>
                        <w:rFonts w:cs="B Compset"/>
                        <w:sz w:val="20"/>
                        <w:szCs w:val="20"/>
                      </w:rPr>
                      <w:t>Received:</w:t>
                    </w:r>
                    <w:r>
                      <w:rPr>
                        <w:rFonts w:cs="B Compset"/>
                        <w:sz w:val="20"/>
                        <w:szCs w:val="20"/>
                      </w:rPr>
                      <w:tab/>
                    </w:r>
                    <w:r>
                      <w:rPr>
                        <w:rFonts w:cs="B Compset"/>
                        <w:sz w:val="20"/>
                        <w:szCs w:val="20"/>
                      </w:rPr>
                      <w:tab/>
                      <w:t>Accepted:</w:t>
                    </w:r>
                    <w:r w:rsidR="00392FC2" w:rsidRPr="00411377">
                      <w:rPr>
                        <w:rFonts w:cs="B Compset" w:hint="cs"/>
                        <w:sz w:val="20"/>
                        <w:szCs w:val="20"/>
                        <w:rtl/>
                      </w:rPr>
                      <w:t xml:space="preserve"> </w:t>
                    </w:r>
                    <w:r w:rsidR="002F0EE2">
                      <w:rPr>
                        <w:rFonts w:cs="B Compset"/>
                        <w:sz w:val="20"/>
                        <w:szCs w:val="20"/>
                        <w:rtl/>
                      </w:rPr>
                      <w:tab/>
                    </w:r>
                    <w:r w:rsidR="002F0EE2">
                      <w:rPr>
                        <w:rFonts w:cs="B Compset"/>
                        <w:sz w:val="20"/>
                        <w:szCs w:val="20"/>
                      </w:rPr>
                      <w:t>ISSN:</w:t>
                    </w:r>
                    <w:r w:rsidR="002F0EE2">
                      <w:rPr>
                        <w:rFonts w:cs="B Compset"/>
                        <w:sz w:val="20"/>
                        <w:szCs w:val="20"/>
                      </w:rPr>
                      <w:tab/>
                    </w:r>
                    <w:r w:rsidR="00421640">
                      <w:rPr>
                        <w:rFonts w:cs="B Compset"/>
                        <w:sz w:val="20"/>
                        <w:szCs w:val="20"/>
                      </w:rPr>
                      <w:t>e</w:t>
                    </w:r>
                    <w:r w:rsidR="002F0EE2">
                      <w:rPr>
                        <w:rFonts w:cs="B Compset"/>
                        <w:sz w:val="20"/>
                        <w:szCs w:val="20"/>
                      </w:rPr>
                      <w:t>ISSN:</w:t>
                    </w:r>
                  </w:p>
                </w:txbxContent>
              </v:textbox>
              <w10:wrap type="square"/>
            </v:shape>
          </w:pict>
        </mc:Fallback>
      </mc:AlternateContent>
    </w:r>
    <w:r w:rsidR="00D53855">
      <w:rPr>
        <w:rFonts w:ascii="Times New Roman" w:hAnsi="Times New Roman" w:cs="Times New Roman"/>
        <w:b w:val="0"/>
        <w:bCs w:val="0"/>
        <w:noProof/>
        <w:sz w:val="24"/>
        <w:szCs w:val="24"/>
        <w:lang w:bidi="ar-SA"/>
      </w:rPr>
      <w:drawing>
        <wp:anchor distT="0" distB="0" distL="114300" distR="114300" simplePos="0" relativeHeight="251666432" behindDoc="0" locked="0" layoutInCell="1" allowOverlap="1" wp14:anchorId="2891744C" wp14:editId="6F275C80">
          <wp:simplePos x="0" y="0"/>
          <wp:positionH relativeFrom="margin">
            <wp:posOffset>3357880</wp:posOffset>
          </wp:positionH>
          <wp:positionV relativeFrom="margin">
            <wp:posOffset>-911860</wp:posOffset>
          </wp:positionV>
          <wp:extent cx="1080000" cy="571097"/>
          <wp:effectExtent l="0" t="0" r="6350" b="63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080000" cy="57109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3022C">
      <w:rPr>
        <w:rFonts w:ascii="Calibri"/>
        <w:b w:val="0"/>
        <w:color w:val="2D74B5"/>
        <w:spacing w:val="-1"/>
        <w:sz w:val="20"/>
        <w:szCs w:val="24"/>
      </w:rPr>
      <w:t>Journal of Environmental and Natural Resource Economics</w:t>
    </w:r>
  </w:p>
  <w:p w14:paraId="36A27B40" w14:textId="77777777" w:rsidR="00392FC2" w:rsidRPr="002F0EE2" w:rsidRDefault="00D53855" w:rsidP="0013022C">
    <w:pPr>
      <w:pStyle w:val="ListParagraph"/>
      <w:tabs>
        <w:tab w:val="center" w:pos="3400"/>
      </w:tabs>
      <w:bidi w:val="0"/>
      <w:spacing w:after="0" w:line="216" w:lineRule="auto"/>
      <w:rPr>
        <w:color w:val="2E74B5" w:themeColor="accent1" w:themeShade="BF"/>
        <w:sz w:val="22"/>
        <w:szCs w:val="22"/>
        <w:rtl/>
      </w:rPr>
    </w:pPr>
    <w:r>
      <w:rPr>
        <w:color w:val="2E74B5" w:themeColor="accent1" w:themeShade="BF"/>
        <w:sz w:val="22"/>
        <w:szCs w:val="22"/>
      </w:rPr>
      <w:t>Vol(issue), PP.</w:t>
    </w:r>
    <w:r w:rsidR="0013022C">
      <w:rPr>
        <w:color w:val="2E74B5" w:themeColor="accent1" w:themeShade="BF"/>
        <w:sz w:val="22"/>
        <w:szCs w:val="22"/>
      </w:rPr>
      <w:tab/>
    </w:r>
  </w:p>
  <w:p w14:paraId="125F0F15" w14:textId="77777777" w:rsidR="00392FC2" w:rsidRPr="002F0EE2" w:rsidRDefault="00392FC2" w:rsidP="00D53855">
    <w:pPr>
      <w:pStyle w:val="ListParagraph"/>
      <w:bidi w:val="0"/>
      <w:spacing w:after="0" w:line="216" w:lineRule="auto"/>
      <w:rPr>
        <w:color w:val="2E74B5" w:themeColor="accent1" w:themeShade="BF"/>
        <w:sz w:val="22"/>
        <w:szCs w:val="22"/>
      </w:rPr>
    </w:pPr>
    <w:r w:rsidRPr="002F0EE2">
      <w:rPr>
        <w:color w:val="2E74B5" w:themeColor="accent1" w:themeShade="BF"/>
        <w:sz w:val="22"/>
        <w:szCs w:val="22"/>
      </w:rPr>
      <w:t>.atu.ac.ir</w:t>
    </w:r>
  </w:p>
  <w:p w14:paraId="63D26162" w14:textId="77777777" w:rsidR="00392FC2" w:rsidRPr="002F0EE2" w:rsidRDefault="00392FC2" w:rsidP="00D53855">
    <w:pPr>
      <w:pStyle w:val="ListParagraph"/>
      <w:bidi w:val="0"/>
      <w:spacing w:after="0" w:line="216" w:lineRule="auto"/>
      <w:rPr>
        <w:color w:val="2E74B5" w:themeColor="accent1" w:themeShade="BF"/>
        <w:sz w:val="18"/>
        <w:szCs w:val="18"/>
        <w:rtl/>
      </w:rPr>
    </w:pPr>
    <w:r w:rsidRPr="002F0EE2">
      <w:rPr>
        <w:color w:val="2E74B5" w:themeColor="accent1" w:themeShade="BF"/>
        <w:sz w:val="22"/>
        <w:szCs w:val="22"/>
      </w:rPr>
      <w:t>DOI:</w:t>
    </w:r>
    <w:r w:rsidR="00214FBC">
      <w:rPr>
        <w:color w:val="2E74B5" w:themeColor="accent1" w:themeShade="BF"/>
        <w:sz w:val="22"/>
        <w:szCs w:val="22"/>
      </w:rPr>
      <w:t xml:space="preserve"> </w:t>
    </w:r>
  </w:p>
  <w:p w14:paraId="18EED4C1" w14:textId="77777777" w:rsidR="00392FC2" w:rsidRDefault="00392FC2" w:rsidP="00392FC2">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BC776F" w14:textId="77777777" w:rsidR="00D53855" w:rsidRPr="002F0EE2" w:rsidRDefault="00D53855" w:rsidP="00553C23">
    <w:pPr>
      <w:pStyle w:val="ListParagraph"/>
      <w:spacing w:after="0" w:line="216" w:lineRule="auto"/>
      <w:rPr>
        <w:color w:val="2E74B5" w:themeColor="accent1" w:themeShade="BF"/>
        <w:sz w:val="22"/>
        <w:szCs w:val="22"/>
      </w:rPr>
    </w:pPr>
    <w:r w:rsidRPr="002F0EE2">
      <w:rPr>
        <w:rFonts w:cs="B Zar"/>
        <w:b w:val="0"/>
        <w:bCs w:val="0"/>
        <w:noProof/>
        <w:color w:val="2E74B5" w:themeColor="accent1" w:themeShade="BF"/>
        <w:sz w:val="22"/>
        <w:szCs w:val="22"/>
        <w:lang w:bidi="ar-SA"/>
      </w:rPr>
      <mc:AlternateContent>
        <mc:Choice Requires="wps">
          <w:drawing>
            <wp:anchor distT="45720" distB="45720" distL="114300" distR="114300" simplePos="0" relativeHeight="251664384" behindDoc="0" locked="0" layoutInCell="1" allowOverlap="1" wp14:anchorId="54149E7C" wp14:editId="3610E692">
              <wp:simplePos x="0" y="0"/>
              <wp:positionH relativeFrom="column">
                <wp:posOffset>-582295</wp:posOffset>
              </wp:positionH>
              <wp:positionV relativeFrom="paragraph">
                <wp:posOffset>11430</wp:posOffset>
              </wp:positionV>
              <wp:extent cx="359410" cy="7248525"/>
              <wp:effectExtent l="0" t="0" r="2540" b="9525"/>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410" cy="7248525"/>
                      </a:xfrm>
                      <a:prstGeom prst="rect">
                        <a:avLst/>
                      </a:prstGeom>
                      <a:gradFill flip="none" rotWithShape="1">
                        <a:gsLst>
                          <a:gs pos="0">
                            <a:schemeClr val="accent1">
                              <a:tint val="66000"/>
                              <a:satMod val="160000"/>
                            </a:schemeClr>
                          </a:gs>
                          <a:gs pos="50000">
                            <a:schemeClr val="accent1">
                              <a:tint val="44500"/>
                              <a:satMod val="160000"/>
                            </a:schemeClr>
                          </a:gs>
                          <a:gs pos="100000">
                            <a:schemeClr val="accent1">
                              <a:tint val="23500"/>
                              <a:satMod val="160000"/>
                            </a:schemeClr>
                          </a:gs>
                        </a:gsLst>
                        <a:path path="circle">
                          <a:fillToRect l="50000" t="50000" r="50000" b="50000"/>
                        </a:path>
                        <a:tileRect/>
                      </a:gradFill>
                      <a:ln w="9525">
                        <a:noFill/>
                        <a:miter lim="800000"/>
                        <a:headEnd/>
                        <a:tailEnd/>
                      </a:ln>
                    </wps:spPr>
                    <wps:txbx>
                      <w:txbxContent>
                        <w:p w14:paraId="2794ABD8" w14:textId="77777777" w:rsidR="00D53855" w:rsidRPr="00411377" w:rsidRDefault="00D53855" w:rsidP="00421640">
                          <w:pPr>
                            <w:tabs>
                              <w:tab w:val="left" w:pos="3371"/>
                            </w:tabs>
                            <w:spacing w:after="0" w:line="192" w:lineRule="auto"/>
                            <w:rPr>
                              <w:rFonts w:cs="B Compset"/>
                              <w:sz w:val="20"/>
                              <w:szCs w:val="20"/>
                            </w:rPr>
                          </w:pPr>
                          <w:r w:rsidRPr="00411377">
                            <w:rPr>
                              <w:rFonts w:cs="B Compset" w:hint="cs"/>
                              <w:sz w:val="20"/>
                              <w:szCs w:val="20"/>
                              <w:rtl/>
                            </w:rPr>
                            <w:t xml:space="preserve">مقاله پژوهشی/مروری/سخن سردبیر </w:t>
                          </w:r>
                          <w:r>
                            <w:rPr>
                              <w:rFonts w:cs="B Compset"/>
                              <w:sz w:val="20"/>
                              <w:szCs w:val="20"/>
                              <w:rtl/>
                            </w:rPr>
                            <w:tab/>
                          </w:r>
                          <w:r w:rsidRPr="00411377">
                            <w:rPr>
                              <w:rFonts w:cs="B Compset" w:hint="cs"/>
                              <w:sz w:val="20"/>
                              <w:szCs w:val="20"/>
                              <w:rtl/>
                            </w:rPr>
                            <w:t>تاریخ دریافت: 00/00/00؛ تاریخ پذیرش: 00/00/00</w:t>
                          </w:r>
                          <w:r>
                            <w:rPr>
                              <w:rFonts w:cs="B Compset"/>
                              <w:sz w:val="20"/>
                              <w:szCs w:val="20"/>
                              <w:rtl/>
                            </w:rPr>
                            <w:tab/>
                          </w:r>
                          <w:r>
                            <w:rPr>
                              <w:rFonts w:cs="B Compset"/>
                              <w:sz w:val="20"/>
                              <w:szCs w:val="20"/>
                            </w:rPr>
                            <w:t>ISSN:</w:t>
                          </w:r>
                          <w:r>
                            <w:rPr>
                              <w:rFonts w:cs="B Compset"/>
                              <w:sz w:val="20"/>
                              <w:szCs w:val="20"/>
                            </w:rPr>
                            <w:tab/>
                          </w:r>
                          <w:proofErr w:type="spellStart"/>
                          <w:r>
                            <w:rPr>
                              <w:rFonts w:cs="B Compset"/>
                              <w:sz w:val="20"/>
                              <w:szCs w:val="20"/>
                            </w:rPr>
                            <w:t>eISSN</w:t>
                          </w:r>
                          <w:proofErr w:type="spellEnd"/>
                          <w:r>
                            <w:rPr>
                              <w:rFonts w:cs="B Compset"/>
                              <w:sz w:val="20"/>
                              <w:szCs w:val="20"/>
                            </w:rPr>
                            <w:t>:</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A5B3D4A" id="_x0000_t202" coordsize="21600,21600" o:spt="202" path="m,l,21600r21600,l21600,xe">
              <v:stroke joinstyle="miter"/>
              <v:path gradientshapeok="t" o:connecttype="rect"/>
            </v:shapetype>
            <v:shape id="_x0000_s1045" type="#_x0000_t202" style="position:absolute;left:0;text-align:left;margin-left:-45.85pt;margin-top:.9pt;width:28.3pt;height:570.7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" fillcolor="#92bce3 [2132]" stroked="f">
              <v:fill color2="#d9e8f5 [756]" rotate="t" focusposition=".5,.5" focussize="" colors="0 #9ac3f6;.5 #c1d8f8;1 #e1ecfb" focus="100%" type="gradientRadial"/>
              <v:textbox style="layout-flow:vertical;mso-layout-flow-alt:bottom-to-top">
                <w:txbxContent>
                  <w:p w:rsidR="00D53855" w:rsidRPr="00411377" w:rsidRDefault="00D53855" w:rsidP="00421640">
                    <w:pPr>
                      <w:tabs>
                        <w:tab w:val="left" w:pos="3371"/>
                      </w:tabs>
                      <w:spacing w:after="0" w:line="192" w:lineRule="auto"/>
                      <w:rPr>
                        <w:rFonts w:cs="B Compset"/>
                        <w:sz w:val="20"/>
                        <w:szCs w:val="20"/>
                      </w:rPr>
                    </w:pPr>
                    <w:r w:rsidRPr="00411377">
                      <w:rPr>
                        <w:rFonts w:cs="B Compset" w:hint="cs"/>
                        <w:sz w:val="20"/>
                        <w:szCs w:val="20"/>
                        <w:rtl/>
                      </w:rPr>
                      <w:t xml:space="preserve">مقاله پژوهشی/مروری/سخن سردبیر </w:t>
                    </w:r>
                    <w:r>
                      <w:rPr>
                        <w:rFonts w:cs="B Compset"/>
                        <w:sz w:val="20"/>
                        <w:szCs w:val="20"/>
                        <w:rtl/>
                      </w:rPr>
                      <w:tab/>
                    </w:r>
                    <w:r w:rsidRPr="00411377">
                      <w:rPr>
                        <w:rFonts w:cs="B Compset" w:hint="cs"/>
                        <w:sz w:val="20"/>
                        <w:szCs w:val="20"/>
                        <w:rtl/>
                      </w:rPr>
                      <w:t>تاریخ دریافت: 00/00/00؛ تاریخ پذیرش: 00/00/00</w:t>
                    </w:r>
                    <w:r>
                      <w:rPr>
                        <w:rFonts w:cs="B Compset"/>
                        <w:sz w:val="20"/>
                        <w:szCs w:val="20"/>
                        <w:rtl/>
                      </w:rPr>
                      <w:tab/>
                    </w:r>
                    <w:r>
                      <w:rPr>
                        <w:rFonts w:cs="B Compset"/>
                        <w:sz w:val="20"/>
                        <w:szCs w:val="20"/>
                      </w:rPr>
                      <w:t>ISSN:</w:t>
                    </w:r>
                    <w:r>
                      <w:rPr>
                        <w:rFonts w:cs="B Compset"/>
                        <w:sz w:val="20"/>
                        <w:szCs w:val="20"/>
                      </w:rPr>
                      <w:tab/>
                      <w:t>eISSN:</w:t>
                    </w:r>
                  </w:p>
                </w:txbxContent>
              </v:textbox>
              <w10:wrap type="square"/>
            </v:shape>
          </w:pict>
        </mc:Fallback>
      </mc:AlternateContent>
    </w:r>
    <w:r w:rsidRPr="002F0EE2">
      <w:rPr>
        <w:rFonts w:cs="B Nazanin"/>
        <w:b w:val="0"/>
        <w:bCs w:val="0"/>
        <w:noProof/>
        <w:color w:val="2E74B5" w:themeColor="accent1" w:themeShade="BF"/>
        <w:rtl/>
        <w:lang w:bidi="ar-SA"/>
      </w:rPr>
      <w:drawing>
        <wp:anchor distT="0" distB="0" distL="114300" distR="114300" simplePos="0" relativeHeight="251663360" behindDoc="1" locked="0" layoutInCell="1" allowOverlap="1" wp14:anchorId="416A3B9E" wp14:editId="237DE84E">
          <wp:simplePos x="0" y="0"/>
          <wp:positionH relativeFrom="margin">
            <wp:posOffset>-212090</wp:posOffset>
          </wp:positionH>
          <wp:positionV relativeFrom="topMargin">
            <wp:posOffset>1519555</wp:posOffset>
          </wp:positionV>
          <wp:extent cx="1080000" cy="489855"/>
          <wp:effectExtent l="0" t="0" r="6350" b="571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080000" cy="489855"/>
                  </a:xfrm>
                  <a:prstGeom prst="rect">
                    <a:avLst/>
                  </a:prstGeom>
                  <a:noFill/>
                </pic:spPr>
              </pic:pic>
            </a:graphicData>
          </a:graphic>
          <wp14:sizeRelH relativeFrom="page">
            <wp14:pctWidth>0</wp14:pctWidth>
          </wp14:sizeRelH>
          <wp14:sizeRelV relativeFrom="page">
            <wp14:pctHeight>0</wp14:pctHeight>
          </wp14:sizeRelV>
        </wp:anchor>
      </w:drawing>
    </w:r>
    <w:r w:rsidR="000C2034">
      <w:rPr>
        <w:rFonts w:hint="cs"/>
        <w:color w:val="2E74B5" w:themeColor="accent1" w:themeShade="BF"/>
        <w:sz w:val="22"/>
        <w:szCs w:val="22"/>
        <w:rtl/>
      </w:rPr>
      <w:t xml:space="preserve"> </w:t>
    </w:r>
    <w:r w:rsidR="0013022C">
      <w:rPr>
        <w:rFonts w:hint="cs"/>
        <w:b w:val="0"/>
        <w:bCs w:val="0"/>
        <w:color w:val="2E74B5"/>
        <w:szCs w:val="22"/>
        <w:rtl/>
      </w:rPr>
      <w:t>فصلنامه</w:t>
    </w:r>
    <w:r w:rsidR="00553C23" w:rsidRPr="00553C23">
      <w:rPr>
        <w:rtl/>
      </w:rPr>
      <w:t xml:space="preserve"> </w:t>
    </w:r>
    <w:r w:rsidR="00553C23" w:rsidRPr="00553C23">
      <w:rPr>
        <w:b w:val="0"/>
        <w:bCs w:val="0"/>
        <w:color w:val="2E74B5"/>
        <w:szCs w:val="22"/>
        <w:rtl/>
      </w:rPr>
      <w:t>اقتصاد مح</w:t>
    </w:r>
    <w:r w:rsidR="00553C23" w:rsidRPr="00553C23">
      <w:rPr>
        <w:rFonts w:hint="cs"/>
        <w:b w:val="0"/>
        <w:bCs w:val="0"/>
        <w:color w:val="2E74B5"/>
        <w:szCs w:val="22"/>
        <w:rtl/>
      </w:rPr>
      <w:t>ی</w:t>
    </w:r>
    <w:r w:rsidR="00553C23" w:rsidRPr="00553C23">
      <w:rPr>
        <w:rFonts w:hint="eastAsia"/>
        <w:b w:val="0"/>
        <w:bCs w:val="0"/>
        <w:color w:val="2E74B5"/>
        <w:szCs w:val="22"/>
        <w:rtl/>
      </w:rPr>
      <w:t>ط</w:t>
    </w:r>
    <w:r w:rsidR="00553C23" w:rsidRPr="00553C23">
      <w:rPr>
        <w:b w:val="0"/>
        <w:bCs w:val="0"/>
        <w:color w:val="2E74B5"/>
        <w:szCs w:val="22"/>
        <w:rtl/>
      </w:rPr>
      <w:t xml:space="preserve"> ز</w:t>
    </w:r>
    <w:r w:rsidR="00553C23" w:rsidRPr="00553C23">
      <w:rPr>
        <w:rFonts w:hint="cs"/>
        <w:b w:val="0"/>
        <w:bCs w:val="0"/>
        <w:color w:val="2E74B5"/>
        <w:szCs w:val="22"/>
        <w:rtl/>
      </w:rPr>
      <w:t>ی</w:t>
    </w:r>
    <w:r w:rsidR="00553C23" w:rsidRPr="00553C23">
      <w:rPr>
        <w:rFonts w:hint="eastAsia"/>
        <w:b w:val="0"/>
        <w:bCs w:val="0"/>
        <w:color w:val="2E74B5"/>
        <w:szCs w:val="22"/>
        <w:rtl/>
      </w:rPr>
      <w:t>ست</w:t>
    </w:r>
    <w:r w:rsidR="00553C23" w:rsidRPr="00553C23">
      <w:rPr>
        <w:b w:val="0"/>
        <w:bCs w:val="0"/>
        <w:color w:val="2E74B5"/>
        <w:szCs w:val="22"/>
        <w:rtl/>
      </w:rPr>
      <w:t xml:space="preserve"> و منابع طب</w:t>
    </w:r>
    <w:r w:rsidR="00553C23" w:rsidRPr="00553C23">
      <w:rPr>
        <w:rFonts w:hint="cs"/>
        <w:b w:val="0"/>
        <w:bCs w:val="0"/>
        <w:color w:val="2E74B5"/>
        <w:szCs w:val="22"/>
        <w:rtl/>
      </w:rPr>
      <w:t>ی</w:t>
    </w:r>
    <w:r w:rsidR="00553C23" w:rsidRPr="00553C23">
      <w:rPr>
        <w:rFonts w:hint="eastAsia"/>
        <w:b w:val="0"/>
        <w:bCs w:val="0"/>
        <w:color w:val="2E74B5"/>
        <w:szCs w:val="22"/>
        <w:rtl/>
      </w:rPr>
      <w:t>ع</w:t>
    </w:r>
    <w:r w:rsidR="00553C23" w:rsidRPr="00553C23">
      <w:rPr>
        <w:rFonts w:hint="cs"/>
        <w:b w:val="0"/>
        <w:bCs w:val="0"/>
        <w:color w:val="2E74B5"/>
        <w:szCs w:val="22"/>
        <w:rtl/>
      </w:rPr>
      <w:t>ی</w:t>
    </w:r>
    <w:r w:rsidR="0013022C">
      <w:rPr>
        <w:rFonts w:hint="cs"/>
        <w:b w:val="0"/>
        <w:bCs w:val="0"/>
        <w:color w:val="2E74B5"/>
        <w:szCs w:val="22"/>
        <w:rtl/>
      </w:rPr>
      <w:t xml:space="preserve"> </w:t>
    </w:r>
  </w:p>
  <w:p w14:paraId="623E92BF" w14:textId="77777777" w:rsidR="00D53855" w:rsidRPr="002F0EE2" w:rsidRDefault="00D53855" w:rsidP="002F0EE2">
    <w:pPr>
      <w:pStyle w:val="ListParagraph"/>
      <w:spacing w:after="0" w:line="216" w:lineRule="auto"/>
      <w:rPr>
        <w:color w:val="2E74B5" w:themeColor="accent1" w:themeShade="BF"/>
        <w:sz w:val="22"/>
        <w:szCs w:val="22"/>
        <w:rtl/>
      </w:rPr>
    </w:pPr>
    <w:r>
      <w:rPr>
        <w:rFonts w:hint="cs"/>
        <w:color w:val="2E74B5" w:themeColor="accent1" w:themeShade="BF"/>
        <w:sz w:val="22"/>
        <w:szCs w:val="22"/>
        <w:rtl/>
      </w:rPr>
      <w:t>دوره ؟، شماره ؟، نام فصل، سال، ص ص</w:t>
    </w:r>
  </w:p>
  <w:p w14:paraId="159096C9" w14:textId="77777777" w:rsidR="00D53855" w:rsidRPr="002F0EE2" w:rsidRDefault="00D53855" w:rsidP="002F0EE2">
    <w:pPr>
      <w:pStyle w:val="ListParagraph"/>
      <w:spacing w:after="0" w:line="216" w:lineRule="auto"/>
      <w:rPr>
        <w:color w:val="2E74B5" w:themeColor="accent1" w:themeShade="BF"/>
        <w:sz w:val="22"/>
        <w:szCs w:val="22"/>
      </w:rPr>
    </w:pPr>
    <w:r w:rsidRPr="002F0EE2">
      <w:rPr>
        <w:color w:val="2E74B5" w:themeColor="accent1" w:themeShade="BF"/>
        <w:sz w:val="22"/>
        <w:szCs w:val="22"/>
      </w:rPr>
      <w:t>.atu.ac.ir</w:t>
    </w:r>
  </w:p>
  <w:p w14:paraId="66F557FC" w14:textId="77777777" w:rsidR="00D53855" w:rsidRPr="002F0EE2" w:rsidRDefault="00D53855" w:rsidP="002F0EE2">
    <w:pPr>
      <w:pStyle w:val="ListParagraph"/>
      <w:spacing w:after="0" w:line="216" w:lineRule="auto"/>
      <w:rPr>
        <w:color w:val="2E74B5" w:themeColor="accent1" w:themeShade="BF"/>
        <w:sz w:val="18"/>
        <w:szCs w:val="18"/>
        <w:rtl/>
      </w:rPr>
    </w:pPr>
    <w:r w:rsidRPr="002F0EE2">
      <w:rPr>
        <w:color w:val="2E74B5" w:themeColor="accent1" w:themeShade="BF"/>
        <w:sz w:val="22"/>
        <w:szCs w:val="22"/>
      </w:rPr>
      <w:t>DOI:</w:t>
    </w:r>
  </w:p>
  <w:p w14:paraId="6D3D5CE0" w14:textId="77777777" w:rsidR="00D53855" w:rsidRDefault="00D53855" w:rsidP="00392FC2">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04F07"/>
    <w:multiLevelType w:val="hybridMultilevel"/>
    <w:tmpl w:val="429CF0A0"/>
    <w:lvl w:ilvl="0" w:tplc="85DCAF80">
      <w:start w:val="1"/>
      <w:numFmt w:val="decimal"/>
      <w:lvlText w:val="%1-"/>
      <w:lvlJc w:val="left"/>
      <w:pPr>
        <w:ind w:left="2138" w:hanging="360"/>
      </w:pPr>
      <w:rPr>
        <w:rFonts w:hint="default"/>
      </w:r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1" w15:restartNumberingAfterBreak="0">
    <w:nsid w:val="276B7D5F"/>
    <w:multiLevelType w:val="hybridMultilevel"/>
    <w:tmpl w:val="03C62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9A79C3"/>
    <w:multiLevelType w:val="hybridMultilevel"/>
    <w:tmpl w:val="2CBC7CF6"/>
    <w:lvl w:ilvl="0" w:tplc="67C2E7F4">
      <w:numFmt w:val="bullet"/>
      <w:lvlText w:val="•"/>
      <w:lvlJc w:val="left"/>
      <w:pPr>
        <w:ind w:left="719" w:hanging="435"/>
      </w:pPr>
      <w:rPr>
        <w:rFonts w:ascii="Times New Roman" w:eastAsia="Calibri"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 w15:restartNumberingAfterBreak="0">
    <w:nsid w:val="38AC52A9"/>
    <w:multiLevelType w:val="hybridMultilevel"/>
    <w:tmpl w:val="F5BCBEBA"/>
    <w:lvl w:ilvl="0" w:tplc="F238D8DC">
      <w:start w:val="4"/>
      <w:numFmt w:val="bullet"/>
      <w:lvlText w:val="-"/>
      <w:lvlJc w:val="left"/>
      <w:pPr>
        <w:ind w:left="1865" w:hanging="360"/>
      </w:pPr>
      <w:rPr>
        <w:rFonts w:ascii="Times New Roman" w:eastAsiaTheme="minorHAnsi" w:hAnsi="Times New Roman" w:cs="Times New Roman" w:hint="default"/>
      </w:rPr>
    </w:lvl>
    <w:lvl w:ilvl="1" w:tplc="04090003" w:tentative="1">
      <w:start w:val="1"/>
      <w:numFmt w:val="bullet"/>
      <w:lvlText w:val="o"/>
      <w:lvlJc w:val="left"/>
      <w:pPr>
        <w:ind w:left="2585" w:hanging="360"/>
      </w:pPr>
      <w:rPr>
        <w:rFonts w:ascii="Courier New" w:hAnsi="Courier New" w:cs="Courier New" w:hint="default"/>
      </w:rPr>
    </w:lvl>
    <w:lvl w:ilvl="2" w:tplc="04090005" w:tentative="1">
      <w:start w:val="1"/>
      <w:numFmt w:val="bullet"/>
      <w:lvlText w:val=""/>
      <w:lvlJc w:val="left"/>
      <w:pPr>
        <w:ind w:left="3305" w:hanging="360"/>
      </w:pPr>
      <w:rPr>
        <w:rFonts w:ascii="Wingdings" w:hAnsi="Wingdings" w:hint="default"/>
      </w:rPr>
    </w:lvl>
    <w:lvl w:ilvl="3" w:tplc="04090001" w:tentative="1">
      <w:start w:val="1"/>
      <w:numFmt w:val="bullet"/>
      <w:lvlText w:val=""/>
      <w:lvlJc w:val="left"/>
      <w:pPr>
        <w:ind w:left="4025" w:hanging="360"/>
      </w:pPr>
      <w:rPr>
        <w:rFonts w:ascii="Symbol" w:hAnsi="Symbol" w:hint="default"/>
      </w:rPr>
    </w:lvl>
    <w:lvl w:ilvl="4" w:tplc="04090003" w:tentative="1">
      <w:start w:val="1"/>
      <w:numFmt w:val="bullet"/>
      <w:lvlText w:val="o"/>
      <w:lvlJc w:val="left"/>
      <w:pPr>
        <w:ind w:left="4745" w:hanging="360"/>
      </w:pPr>
      <w:rPr>
        <w:rFonts w:ascii="Courier New" w:hAnsi="Courier New" w:cs="Courier New" w:hint="default"/>
      </w:rPr>
    </w:lvl>
    <w:lvl w:ilvl="5" w:tplc="04090005" w:tentative="1">
      <w:start w:val="1"/>
      <w:numFmt w:val="bullet"/>
      <w:lvlText w:val=""/>
      <w:lvlJc w:val="left"/>
      <w:pPr>
        <w:ind w:left="5465" w:hanging="360"/>
      </w:pPr>
      <w:rPr>
        <w:rFonts w:ascii="Wingdings" w:hAnsi="Wingdings" w:hint="default"/>
      </w:rPr>
    </w:lvl>
    <w:lvl w:ilvl="6" w:tplc="04090001" w:tentative="1">
      <w:start w:val="1"/>
      <w:numFmt w:val="bullet"/>
      <w:lvlText w:val=""/>
      <w:lvlJc w:val="left"/>
      <w:pPr>
        <w:ind w:left="6185" w:hanging="360"/>
      </w:pPr>
      <w:rPr>
        <w:rFonts w:ascii="Symbol" w:hAnsi="Symbol" w:hint="default"/>
      </w:rPr>
    </w:lvl>
    <w:lvl w:ilvl="7" w:tplc="04090003" w:tentative="1">
      <w:start w:val="1"/>
      <w:numFmt w:val="bullet"/>
      <w:lvlText w:val="o"/>
      <w:lvlJc w:val="left"/>
      <w:pPr>
        <w:ind w:left="6905" w:hanging="360"/>
      </w:pPr>
      <w:rPr>
        <w:rFonts w:ascii="Courier New" w:hAnsi="Courier New" w:cs="Courier New" w:hint="default"/>
      </w:rPr>
    </w:lvl>
    <w:lvl w:ilvl="8" w:tplc="04090005" w:tentative="1">
      <w:start w:val="1"/>
      <w:numFmt w:val="bullet"/>
      <w:lvlText w:val=""/>
      <w:lvlJc w:val="left"/>
      <w:pPr>
        <w:ind w:left="7625" w:hanging="360"/>
      </w:pPr>
      <w:rPr>
        <w:rFonts w:ascii="Wingdings" w:hAnsi="Wingdings" w:hint="default"/>
      </w:rPr>
    </w:lvl>
  </w:abstractNum>
  <w:abstractNum w:abstractNumId="4" w15:restartNumberingAfterBreak="0">
    <w:nsid w:val="3D412670"/>
    <w:multiLevelType w:val="hybridMultilevel"/>
    <w:tmpl w:val="BB462760"/>
    <w:lvl w:ilvl="0" w:tplc="DB16536C">
      <w:numFmt w:val="bullet"/>
      <w:lvlText w:val=""/>
      <w:lvlJc w:val="left"/>
      <w:pPr>
        <w:ind w:left="720" w:hanging="360"/>
      </w:pPr>
      <w:rPr>
        <w:rFonts w:ascii="Symbol" w:eastAsiaTheme="minorHAnsi"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C56B02"/>
    <w:multiLevelType w:val="hybridMultilevel"/>
    <w:tmpl w:val="5066EA52"/>
    <w:lvl w:ilvl="0" w:tplc="47CCC5F2">
      <w:start w:val="4"/>
      <w:numFmt w:val="bullet"/>
      <w:lvlText w:val=""/>
      <w:lvlJc w:val="left"/>
      <w:pPr>
        <w:ind w:left="1778" w:hanging="360"/>
      </w:pPr>
      <w:rPr>
        <w:rFonts w:ascii="Symbol" w:eastAsiaTheme="minorHAnsi" w:hAnsi="Symbol" w:cstheme="majorBidi" w:hint="default"/>
      </w:rPr>
    </w:lvl>
    <w:lvl w:ilvl="1" w:tplc="04090003">
      <w:start w:val="1"/>
      <w:numFmt w:val="bullet"/>
      <w:lvlText w:val="o"/>
      <w:lvlJc w:val="left"/>
      <w:pPr>
        <w:ind w:left="2225" w:hanging="360"/>
      </w:pPr>
      <w:rPr>
        <w:rFonts w:ascii="Courier New" w:hAnsi="Courier New" w:cs="Courier New" w:hint="default"/>
      </w:rPr>
    </w:lvl>
    <w:lvl w:ilvl="2" w:tplc="04090005">
      <w:start w:val="1"/>
      <w:numFmt w:val="bullet"/>
      <w:lvlText w:val=""/>
      <w:lvlJc w:val="left"/>
      <w:pPr>
        <w:ind w:left="2945" w:hanging="360"/>
      </w:pPr>
      <w:rPr>
        <w:rFonts w:ascii="Wingdings" w:hAnsi="Wingdings" w:hint="default"/>
      </w:rPr>
    </w:lvl>
    <w:lvl w:ilvl="3" w:tplc="04090001" w:tentative="1">
      <w:start w:val="1"/>
      <w:numFmt w:val="bullet"/>
      <w:lvlText w:val=""/>
      <w:lvlJc w:val="left"/>
      <w:pPr>
        <w:ind w:left="3665" w:hanging="360"/>
      </w:pPr>
      <w:rPr>
        <w:rFonts w:ascii="Symbol" w:hAnsi="Symbol" w:hint="default"/>
      </w:rPr>
    </w:lvl>
    <w:lvl w:ilvl="4" w:tplc="04090003" w:tentative="1">
      <w:start w:val="1"/>
      <w:numFmt w:val="bullet"/>
      <w:lvlText w:val="o"/>
      <w:lvlJc w:val="left"/>
      <w:pPr>
        <w:ind w:left="4385" w:hanging="360"/>
      </w:pPr>
      <w:rPr>
        <w:rFonts w:ascii="Courier New" w:hAnsi="Courier New" w:cs="Courier New" w:hint="default"/>
      </w:rPr>
    </w:lvl>
    <w:lvl w:ilvl="5" w:tplc="04090005" w:tentative="1">
      <w:start w:val="1"/>
      <w:numFmt w:val="bullet"/>
      <w:lvlText w:val=""/>
      <w:lvlJc w:val="left"/>
      <w:pPr>
        <w:ind w:left="5105" w:hanging="360"/>
      </w:pPr>
      <w:rPr>
        <w:rFonts w:ascii="Wingdings" w:hAnsi="Wingdings" w:hint="default"/>
      </w:rPr>
    </w:lvl>
    <w:lvl w:ilvl="6" w:tplc="04090001" w:tentative="1">
      <w:start w:val="1"/>
      <w:numFmt w:val="bullet"/>
      <w:lvlText w:val=""/>
      <w:lvlJc w:val="left"/>
      <w:pPr>
        <w:ind w:left="5825" w:hanging="360"/>
      </w:pPr>
      <w:rPr>
        <w:rFonts w:ascii="Symbol" w:hAnsi="Symbol" w:hint="default"/>
      </w:rPr>
    </w:lvl>
    <w:lvl w:ilvl="7" w:tplc="04090003" w:tentative="1">
      <w:start w:val="1"/>
      <w:numFmt w:val="bullet"/>
      <w:lvlText w:val="o"/>
      <w:lvlJc w:val="left"/>
      <w:pPr>
        <w:ind w:left="6545" w:hanging="360"/>
      </w:pPr>
      <w:rPr>
        <w:rFonts w:ascii="Courier New" w:hAnsi="Courier New" w:cs="Courier New" w:hint="default"/>
      </w:rPr>
    </w:lvl>
    <w:lvl w:ilvl="8" w:tplc="04090005" w:tentative="1">
      <w:start w:val="1"/>
      <w:numFmt w:val="bullet"/>
      <w:lvlText w:val=""/>
      <w:lvlJc w:val="left"/>
      <w:pPr>
        <w:ind w:left="7265" w:hanging="360"/>
      </w:pPr>
      <w:rPr>
        <w:rFonts w:ascii="Wingdings" w:hAnsi="Wingdings" w:hint="default"/>
      </w:rPr>
    </w:lvl>
  </w:abstractNum>
  <w:abstractNum w:abstractNumId="6" w15:restartNumberingAfterBreak="0">
    <w:nsid w:val="401A6AB6"/>
    <w:multiLevelType w:val="hybridMultilevel"/>
    <w:tmpl w:val="934072C6"/>
    <w:lvl w:ilvl="0" w:tplc="576E717E">
      <w:start w:val="4"/>
      <w:numFmt w:val="bullet"/>
      <w:lvlText w:val="-"/>
      <w:lvlJc w:val="left"/>
      <w:pPr>
        <w:ind w:left="2138" w:hanging="360"/>
      </w:pPr>
      <w:rPr>
        <w:rFonts w:ascii="Times New Roman" w:eastAsiaTheme="minorHAnsi" w:hAnsi="Times New Roman" w:cs="Times New Roman"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7" w15:restartNumberingAfterBreak="0">
    <w:nsid w:val="42945BD2"/>
    <w:multiLevelType w:val="hybridMultilevel"/>
    <w:tmpl w:val="277AD6F4"/>
    <w:lvl w:ilvl="0" w:tplc="746CF058">
      <w:start w:val="4"/>
      <w:numFmt w:val="bullet"/>
      <w:lvlText w:val="-"/>
      <w:lvlJc w:val="left"/>
      <w:pPr>
        <w:ind w:left="1865" w:hanging="360"/>
      </w:pPr>
      <w:rPr>
        <w:rFonts w:ascii="Times New Roman" w:eastAsiaTheme="minorHAnsi" w:hAnsi="Times New Roman" w:cs="Times New Roman" w:hint="default"/>
      </w:rPr>
    </w:lvl>
    <w:lvl w:ilvl="1" w:tplc="04090003" w:tentative="1">
      <w:start w:val="1"/>
      <w:numFmt w:val="bullet"/>
      <w:lvlText w:val="o"/>
      <w:lvlJc w:val="left"/>
      <w:pPr>
        <w:ind w:left="2585" w:hanging="360"/>
      </w:pPr>
      <w:rPr>
        <w:rFonts w:ascii="Courier New" w:hAnsi="Courier New" w:cs="Courier New" w:hint="default"/>
      </w:rPr>
    </w:lvl>
    <w:lvl w:ilvl="2" w:tplc="04090005" w:tentative="1">
      <w:start w:val="1"/>
      <w:numFmt w:val="bullet"/>
      <w:lvlText w:val=""/>
      <w:lvlJc w:val="left"/>
      <w:pPr>
        <w:ind w:left="3305" w:hanging="360"/>
      </w:pPr>
      <w:rPr>
        <w:rFonts w:ascii="Wingdings" w:hAnsi="Wingdings" w:hint="default"/>
      </w:rPr>
    </w:lvl>
    <w:lvl w:ilvl="3" w:tplc="04090001" w:tentative="1">
      <w:start w:val="1"/>
      <w:numFmt w:val="bullet"/>
      <w:lvlText w:val=""/>
      <w:lvlJc w:val="left"/>
      <w:pPr>
        <w:ind w:left="4025" w:hanging="360"/>
      </w:pPr>
      <w:rPr>
        <w:rFonts w:ascii="Symbol" w:hAnsi="Symbol" w:hint="default"/>
      </w:rPr>
    </w:lvl>
    <w:lvl w:ilvl="4" w:tplc="04090003" w:tentative="1">
      <w:start w:val="1"/>
      <w:numFmt w:val="bullet"/>
      <w:lvlText w:val="o"/>
      <w:lvlJc w:val="left"/>
      <w:pPr>
        <w:ind w:left="4745" w:hanging="360"/>
      </w:pPr>
      <w:rPr>
        <w:rFonts w:ascii="Courier New" w:hAnsi="Courier New" w:cs="Courier New" w:hint="default"/>
      </w:rPr>
    </w:lvl>
    <w:lvl w:ilvl="5" w:tplc="04090005" w:tentative="1">
      <w:start w:val="1"/>
      <w:numFmt w:val="bullet"/>
      <w:lvlText w:val=""/>
      <w:lvlJc w:val="left"/>
      <w:pPr>
        <w:ind w:left="5465" w:hanging="360"/>
      </w:pPr>
      <w:rPr>
        <w:rFonts w:ascii="Wingdings" w:hAnsi="Wingdings" w:hint="default"/>
      </w:rPr>
    </w:lvl>
    <w:lvl w:ilvl="6" w:tplc="04090001" w:tentative="1">
      <w:start w:val="1"/>
      <w:numFmt w:val="bullet"/>
      <w:lvlText w:val=""/>
      <w:lvlJc w:val="left"/>
      <w:pPr>
        <w:ind w:left="6185" w:hanging="360"/>
      </w:pPr>
      <w:rPr>
        <w:rFonts w:ascii="Symbol" w:hAnsi="Symbol" w:hint="default"/>
      </w:rPr>
    </w:lvl>
    <w:lvl w:ilvl="7" w:tplc="04090003" w:tentative="1">
      <w:start w:val="1"/>
      <w:numFmt w:val="bullet"/>
      <w:lvlText w:val="o"/>
      <w:lvlJc w:val="left"/>
      <w:pPr>
        <w:ind w:left="6905" w:hanging="360"/>
      </w:pPr>
      <w:rPr>
        <w:rFonts w:ascii="Courier New" w:hAnsi="Courier New" w:cs="Courier New" w:hint="default"/>
      </w:rPr>
    </w:lvl>
    <w:lvl w:ilvl="8" w:tplc="04090005" w:tentative="1">
      <w:start w:val="1"/>
      <w:numFmt w:val="bullet"/>
      <w:lvlText w:val=""/>
      <w:lvlJc w:val="left"/>
      <w:pPr>
        <w:ind w:left="7625" w:hanging="360"/>
      </w:pPr>
      <w:rPr>
        <w:rFonts w:ascii="Wingdings" w:hAnsi="Wingdings" w:hint="default"/>
      </w:rPr>
    </w:lvl>
  </w:abstractNum>
  <w:abstractNum w:abstractNumId="8" w15:restartNumberingAfterBreak="0">
    <w:nsid w:val="43862791"/>
    <w:multiLevelType w:val="hybridMultilevel"/>
    <w:tmpl w:val="45DA4742"/>
    <w:lvl w:ilvl="0" w:tplc="0409000B">
      <w:start w:val="1"/>
      <w:numFmt w:val="bullet"/>
      <w:lvlText w:val=""/>
      <w:lvlJc w:val="left"/>
      <w:pPr>
        <w:ind w:left="502" w:hanging="360"/>
      </w:pPr>
      <w:rPr>
        <w:rFonts w:ascii="Wingdings" w:hAnsi="Wingdings"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9" w15:restartNumberingAfterBreak="0">
    <w:nsid w:val="43A41EDC"/>
    <w:multiLevelType w:val="hybridMultilevel"/>
    <w:tmpl w:val="938CE890"/>
    <w:lvl w:ilvl="0" w:tplc="7C262E24">
      <w:start w:val="1"/>
      <w:numFmt w:val="decimal"/>
      <w:lvlText w:val="%1-"/>
      <w:lvlJc w:val="left"/>
      <w:pPr>
        <w:ind w:left="1505" w:hanging="360"/>
      </w:pPr>
      <w:rPr>
        <w:rFonts w:hint="default"/>
      </w:rPr>
    </w:lvl>
    <w:lvl w:ilvl="1" w:tplc="04090019" w:tentative="1">
      <w:start w:val="1"/>
      <w:numFmt w:val="lowerLetter"/>
      <w:lvlText w:val="%2."/>
      <w:lvlJc w:val="left"/>
      <w:pPr>
        <w:ind w:left="2225" w:hanging="360"/>
      </w:pPr>
    </w:lvl>
    <w:lvl w:ilvl="2" w:tplc="0409001B" w:tentative="1">
      <w:start w:val="1"/>
      <w:numFmt w:val="lowerRoman"/>
      <w:lvlText w:val="%3."/>
      <w:lvlJc w:val="right"/>
      <w:pPr>
        <w:ind w:left="2945" w:hanging="180"/>
      </w:pPr>
    </w:lvl>
    <w:lvl w:ilvl="3" w:tplc="0409000F" w:tentative="1">
      <w:start w:val="1"/>
      <w:numFmt w:val="decimal"/>
      <w:lvlText w:val="%4."/>
      <w:lvlJc w:val="left"/>
      <w:pPr>
        <w:ind w:left="3665" w:hanging="360"/>
      </w:pPr>
    </w:lvl>
    <w:lvl w:ilvl="4" w:tplc="04090019" w:tentative="1">
      <w:start w:val="1"/>
      <w:numFmt w:val="lowerLetter"/>
      <w:lvlText w:val="%5."/>
      <w:lvlJc w:val="left"/>
      <w:pPr>
        <w:ind w:left="4385" w:hanging="360"/>
      </w:pPr>
    </w:lvl>
    <w:lvl w:ilvl="5" w:tplc="0409001B" w:tentative="1">
      <w:start w:val="1"/>
      <w:numFmt w:val="lowerRoman"/>
      <w:lvlText w:val="%6."/>
      <w:lvlJc w:val="right"/>
      <w:pPr>
        <w:ind w:left="5105" w:hanging="180"/>
      </w:pPr>
    </w:lvl>
    <w:lvl w:ilvl="6" w:tplc="0409000F" w:tentative="1">
      <w:start w:val="1"/>
      <w:numFmt w:val="decimal"/>
      <w:lvlText w:val="%7."/>
      <w:lvlJc w:val="left"/>
      <w:pPr>
        <w:ind w:left="5825" w:hanging="360"/>
      </w:pPr>
    </w:lvl>
    <w:lvl w:ilvl="7" w:tplc="04090019" w:tentative="1">
      <w:start w:val="1"/>
      <w:numFmt w:val="lowerLetter"/>
      <w:lvlText w:val="%8."/>
      <w:lvlJc w:val="left"/>
      <w:pPr>
        <w:ind w:left="6545" w:hanging="360"/>
      </w:pPr>
    </w:lvl>
    <w:lvl w:ilvl="8" w:tplc="0409001B" w:tentative="1">
      <w:start w:val="1"/>
      <w:numFmt w:val="lowerRoman"/>
      <w:lvlText w:val="%9."/>
      <w:lvlJc w:val="right"/>
      <w:pPr>
        <w:ind w:left="7265" w:hanging="180"/>
      </w:pPr>
    </w:lvl>
  </w:abstractNum>
  <w:abstractNum w:abstractNumId="10" w15:restartNumberingAfterBreak="0">
    <w:nsid w:val="48A05E42"/>
    <w:multiLevelType w:val="multilevel"/>
    <w:tmpl w:val="A112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8E6F82"/>
    <w:multiLevelType w:val="multilevel"/>
    <w:tmpl w:val="41B05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EC2E65"/>
    <w:multiLevelType w:val="hybridMultilevel"/>
    <w:tmpl w:val="20C0ACB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3" w15:restartNumberingAfterBreak="0">
    <w:nsid w:val="597655D4"/>
    <w:multiLevelType w:val="hybridMultilevel"/>
    <w:tmpl w:val="BB1CB84E"/>
    <w:lvl w:ilvl="0" w:tplc="0409000B">
      <w:start w:val="1"/>
      <w:numFmt w:val="bullet"/>
      <w:lvlText w:val=""/>
      <w:lvlJc w:val="left"/>
      <w:pPr>
        <w:ind w:left="2498" w:hanging="360"/>
      </w:pPr>
      <w:rPr>
        <w:rFonts w:ascii="Wingdings" w:hAnsi="Wingdings" w:hint="default"/>
        <w:b w:val="0"/>
      </w:rPr>
    </w:lvl>
    <w:lvl w:ilvl="1" w:tplc="04090019" w:tentative="1">
      <w:start w:val="1"/>
      <w:numFmt w:val="lowerLetter"/>
      <w:lvlText w:val="%2."/>
      <w:lvlJc w:val="left"/>
      <w:pPr>
        <w:ind w:left="3218" w:hanging="360"/>
      </w:pPr>
    </w:lvl>
    <w:lvl w:ilvl="2" w:tplc="0409001B" w:tentative="1">
      <w:start w:val="1"/>
      <w:numFmt w:val="lowerRoman"/>
      <w:lvlText w:val="%3."/>
      <w:lvlJc w:val="right"/>
      <w:pPr>
        <w:ind w:left="3938" w:hanging="180"/>
      </w:pPr>
    </w:lvl>
    <w:lvl w:ilvl="3" w:tplc="0409000F" w:tentative="1">
      <w:start w:val="1"/>
      <w:numFmt w:val="decimal"/>
      <w:lvlText w:val="%4."/>
      <w:lvlJc w:val="left"/>
      <w:pPr>
        <w:ind w:left="4658" w:hanging="360"/>
      </w:pPr>
    </w:lvl>
    <w:lvl w:ilvl="4" w:tplc="04090019" w:tentative="1">
      <w:start w:val="1"/>
      <w:numFmt w:val="lowerLetter"/>
      <w:lvlText w:val="%5."/>
      <w:lvlJc w:val="left"/>
      <w:pPr>
        <w:ind w:left="5378" w:hanging="360"/>
      </w:pPr>
    </w:lvl>
    <w:lvl w:ilvl="5" w:tplc="0409001B" w:tentative="1">
      <w:start w:val="1"/>
      <w:numFmt w:val="lowerRoman"/>
      <w:lvlText w:val="%6."/>
      <w:lvlJc w:val="right"/>
      <w:pPr>
        <w:ind w:left="6098" w:hanging="180"/>
      </w:pPr>
    </w:lvl>
    <w:lvl w:ilvl="6" w:tplc="0409000F" w:tentative="1">
      <w:start w:val="1"/>
      <w:numFmt w:val="decimal"/>
      <w:lvlText w:val="%7."/>
      <w:lvlJc w:val="left"/>
      <w:pPr>
        <w:ind w:left="6818" w:hanging="360"/>
      </w:pPr>
    </w:lvl>
    <w:lvl w:ilvl="7" w:tplc="04090019" w:tentative="1">
      <w:start w:val="1"/>
      <w:numFmt w:val="lowerLetter"/>
      <w:lvlText w:val="%8."/>
      <w:lvlJc w:val="left"/>
      <w:pPr>
        <w:ind w:left="7538" w:hanging="360"/>
      </w:pPr>
    </w:lvl>
    <w:lvl w:ilvl="8" w:tplc="0409001B" w:tentative="1">
      <w:start w:val="1"/>
      <w:numFmt w:val="lowerRoman"/>
      <w:lvlText w:val="%9."/>
      <w:lvlJc w:val="right"/>
      <w:pPr>
        <w:ind w:left="8258" w:hanging="180"/>
      </w:pPr>
    </w:lvl>
  </w:abstractNum>
  <w:abstractNum w:abstractNumId="14" w15:restartNumberingAfterBreak="0">
    <w:nsid w:val="5E384525"/>
    <w:multiLevelType w:val="hybridMultilevel"/>
    <w:tmpl w:val="D99A7B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6C2B0490"/>
    <w:multiLevelType w:val="multilevel"/>
    <w:tmpl w:val="6A0C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1D436A"/>
    <w:multiLevelType w:val="multilevel"/>
    <w:tmpl w:val="042E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num>
  <w:num w:numId="3">
    <w:abstractNumId w:val="4"/>
  </w:num>
  <w:num w:numId="4">
    <w:abstractNumId w:val="6"/>
  </w:num>
  <w:num w:numId="5">
    <w:abstractNumId w:val="0"/>
  </w:num>
  <w:num w:numId="6">
    <w:abstractNumId w:val="9"/>
  </w:num>
  <w:num w:numId="7">
    <w:abstractNumId w:val="13"/>
  </w:num>
  <w:num w:numId="8">
    <w:abstractNumId w:val="7"/>
  </w:num>
  <w:num w:numId="9">
    <w:abstractNumId w:val="8"/>
  </w:num>
  <w:num w:numId="10">
    <w:abstractNumId w:val="3"/>
  </w:num>
  <w:num w:numId="11">
    <w:abstractNumId w:val="1"/>
  </w:num>
  <w:num w:numId="12">
    <w:abstractNumId w:val="10"/>
  </w:num>
  <w:num w:numId="13">
    <w:abstractNumId w:val="16"/>
  </w:num>
  <w:num w:numId="14">
    <w:abstractNumId w:val="11"/>
  </w:num>
  <w:num w:numId="15">
    <w:abstractNumId w:val="15"/>
  </w:num>
  <w:num w:numId="16">
    <w:abstractNumId w:val="12"/>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embedSystemFonts/>
  <w:saveSubsetFonts/>
  <w:proofState w:spelling="clean" w:grammar="clean"/>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399"/>
    <w:rsid w:val="00003881"/>
    <w:rsid w:val="0005418D"/>
    <w:rsid w:val="000815FB"/>
    <w:rsid w:val="000C2034"/>
    <w:rsid w:val="000D078E"/>
    <w:rsid w:val="000E7753"/>
    <w:rsid w:val="00116181"/>
    <w:rsid w:val="0013022C"/>
    <w:rsid w:val="00166974"/>
    <w:rsid w:val="001B6621"/>
    <w:rsid w:val="001D287F"/>
    <w:rsid w:val="001D4B31"/>
    <w:rsid w:val="001E5D0D"/>
    <w:rsid w:val="001F54CD"/>
    <w:rsid w:val="00214FBC"/>
    <w:rsid w:val="002541DF"/>
    <w:rsid w:val="00297E1A"/>
    <w:rsid w:val="002D712F"/>
    <w:rsid w:val="002D745A"/>
    <w:rsid w:val="002F0EE2"/>
    <w:rsid w:val="002F262A"/>
    <w:rsid w:val="00302CD7"/>
    <w:rsid w:val="00310B00"/>
    <w:rsid w:val="003341E0"/>
    <w:rsid w:val="00392FC2"/>
    <w:rsid w:val="003E7377"/>
    <w:rsid w:val="003F0932"/>
    <w:rsid w:val="00411377"/>
    <w:rsid w:val="0041724D"/>
    <w:rsid w:val="004211FF"/>
    <w:rsid w:val="00421640"/>
    <w:rsid w:val="00436A5C"/>
    <w:rsid w:val="004374D3"/>
    <w:rsid w:val="00441A8F"/>
    <w:rsid w:val="0045045E"/>
    <w:rsid w:val="004A42C6"/>
    <w:rsid w:val="004C3F1F"/>
    <w:rsid w:val="00506BE6"/>
    <w:rsid w:val="00512D61"/>
    <w:rsid w:val="00512E24"/>
    <w:rsid w:val="005139F3"/>
    <w:rsid w:val="005238F6"/>
    <w:rsid w:val="00531940"/>
    <w:rsid w:val="00542FF3"/>
    <w:rsid w:val="00546254"/>
    <w:rsid w:val="00553C23"/>
    <w:rsid w:val="00562812"/>
    <w:rsid w:val="0056474D"/>
    <w:rsid w:val="005A4520"/>
    <w:rsid w:val="005A6FF7"/>
    <w:rsid w:val="005C093B"/>
    <w:rsid w:val="005E5AF8"/>
    <w:rsid w:val="00620017"/>
    <w:rsid w:val="006316AC"/>
    <w:rsid w:val="00640093"/>
    <w:rsid w:val="006D2714"/>
    <w:rsid w:val="006F2A07"/>
    <w:rsid w:val="007359A8"/>
    <w:rsid w:val="007413B3"/>
    <w:rsid w:val="00760C85"/>
    <w:rsid w:val="00764D87"/>
    <w:rsid w:val="00776AD7"/>
    <w:rsid w:val="0079708E"/>
    <w:rsid w:val="007A3768"/>
    <w:rsid w:val="007C1359"/>
    <w:rsid w:val="00803BAD"/>
    <w:rsid w:val="00820CE6"/>
    <w:rsid w:val="00845A15"/>
    <w:rsid w:val="008921E1"/>
    <w:rsid w:val="008947A4"/>
    <w:rsid w:val="008D5748"/>
    <w:rsid w:val="008F50D6"/>
    <w:rsid w:val="00930370"/>
    <w:rsid w:val="00944585"/>
    <w:rsid w:val="0096208A"/>
    <w:rsid w:val="009C765C"/>
    <w:rsid w:val="009D75BB"/>
    <w:rsid w:val="00A16032"/>
    <w:rsid w:val="00A433E9"/>
    <w:rsid w:val="00A45EEB"/>
    <w:rsid w:val="00A54483"/>
    <w:rsid w:val="00A66467"/>
    <w:rsid w:val="00A72394"/>
    <w:rsid w:val="00A81142"/>
    <w:rsid w:val="00A8286D"/>
    <w:rsid w:val="00A85194"/>
    <w:rsid w:val="00A85312"/>
    <w:rsid w:val="00AD4A37"/>
    <w:rsid w:val="00AF41FC"/>
    <w:rsid w:val="00B0567D"/>
    <w:rsid w:val="00B10714"/>
    <w:rsid w:val="00B37D5D"/>
    <w:rsid w:val="00B556F5"/>
    <w:rsid w:val="00B56070"/>
    <w:rsid w:val="00B819E8"/>
    <w:rsid w:val="00B902F2"/>
    <w:rsid w:val="00BA125D"/>
    <w:rsid w:val="00BD2060"/>
    <w:rsid w:val="00C02850"/>
    <w:rsid w:val="00C07F21"/>
    <w:rsid w:val="00C6489B"/>
    <w:rsid w:val="00C64CE2"/>
    <w:rsid w:val="00C70BD6"/>
    <w:rsid w:val="00C92543"/>
    <w:rsid w:val="00CA188F"/>
    <w:rsid w:val="00CD540D"/>
    <w:rsid w:val="00CD74BE"/>
    <w:rsid w:val="00D236B8"/>
    <w:rsid w:val="00D47BAB"/>
    <w:rsid w:val="00D47F87"/>
    <w:rsid w:val="00D53855"/>
    <w:rsid w:val="00D71207"/>
    <w:rsid w:val="00D7584C"/>
    <w:rsid w:val="00DC0A22"/>
    <w:rsid w:val="00DC246C"/>
    <w:rsid w:val="00DC5F6A"/>
    <w:rsid w:val="00DE5BF3"/>
    <w:rsid w:val="00E02399"/>
    <w:rsid w:val="00E06105"/>
    <w:rsid w:val="00E36209"/>
    <w:rsid w:val="00E36AB4"/>
    <w:rsid w:val="00E42CF9"/>
    <w:rsid w:val="00E50E5E"/>
    <w:rsid w:val="00E56C58"/>
    <w:rsid w:val="00EA198D"/>
    <w:rsid w:val="00ED33DD"/>
    <w:rsid w:val="00EF673E"/>
    <w:rsid w:val="00F35769"/>
    <w:rsid w:val="00F66DBD"/>
    <w:rsid w:val="00F95509"/>
    <w:rsid w:val="00FC72D6"/>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6CD98F"/>
  <w15:docId w15:val="{DEDD34DC-BFFE-4AFE-AD18-5311FC6E8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bidi/>
    </w:pPr>
  </w:style>
  <w:style w:type="paragraph" w:styleId="Heading1">
    <w:name w:val="heading 1"/>
    <w:basedOn w:val="Normal"/>
    <w:next w:val="Normal"/>
    <w:link w:val="Heading1Char"/>
    <w:uiPriority w:val="9"/>
    <w:qFormat/>
    <w:rsid w:val="006D271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E5D0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1E5D0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56474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ParagraphChar">
    <w:name w:val="List Paragraph Char"/>
    <w:aliases w:val="heading2 Char"/>
    <w:basedOn w:val="DefaultParagraphFont"/>
    <w:link w:val="ListParagraph"/>
    <w:uiPriority w:val="34"/>
    <w:locked/>
    <w:rsid w:val="001E5D0D"/>
    <w:rPr>
      <w:rFonts w:cs="B Lotus"/>
      <w:b/>
      <w:bCs/>
      <w:sz w:val="28"/>
      <w:szCs w:val="28"/>
    </w:rPr>
  </w:style>
  <w:style w:type="paragraph" w:styleId="ListParagraph">
    <w:name w:val="List Paragraph"/>
    <w:aliases w:val="heading2"/>
    <w:basedOn w:val="Normal"/>
    <w:link w:val="ListParagraphChar"/>
    <w:uiPriority w:val="34"/>
    <w:qFormat/>
    <w:rsid w:val="001E5D0D"/>
    <w:pPr>
      <w:spacing w:after="200" w:line="276" w:lineRule="auto"/>
      <w:ind w:left="-2"/>
      <w:contextualSpacing/>
    </w:pPr>
    <w:rPr>
      <w:rFonts w:cs="B Lotus"/>
      <w:b/>
      <w:bCs/>
      <w:sz w:val="28"/>
      <w:szCs w:val="28"/>
    </w:rPr>
  </w:style>
  <w:style w:type="paragraph" w:styleId="Header">
    <w:name w:val="header"/>
    <w:basedOn w:val="Normal"/>
    <w:link w:val="HeaderChar"/>
    <w:uiPriority w:val="99"/>
    <w:unhideWhenUsed/>
    <w:rsid w:val="00C648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489B"/>
  </w:style>
  <w:style w:type="paragraph" w:styleId="Footer">
    <w:name w:val="footer"/>
    <w:basedOn w:val="Normal"/>
    <w:link w:val="FooterChar"/>
    <w:uiPriority w:val="99"/>
    <w:unhideWhenUsed/>
    <w:rsid w:val="00C648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489B"/>
  </w:style>
  <w:style w:type="paragraph" w:styleId="FootnoteText">
    <w:name w:val="footnote text"/>
    <w:basedOn w:val="Normal"/>
    <w:link w:val="FootnoteTextChar"/>
    <w:uiPriority w:val="99"/>
    <w:semiHidden/>
    <w:unhideWhenUsed/>
    <w:rsid w:val="008921E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921E1"/>
    <w:rPr>
      <w:sz w:val="20"/>
      <w:szCs w:val="20"/>
    </w:rPr>
  </w:style>
  <w:style w:type="character" w:styleId="FootnoteReference">
    <w:name w:val="footnote reference"/>
    <w:basedOn w:val="DefaultParagraphFont"/>
    <w:uiPriority w:val="99"/>
    <w:semiHidden/>
    <w:unhideWhenUsed/>
    <w:rsid w:val="008921E1"/>
    <w:rPr>
      <w:vertAlign w:val="superscript"/>
    </w:rPr>
  </w:style>
  <w:style w:type="character" w:customStyle="1" w:styleId="Heading1Char">
    <w:name w:val="Heading 1 Char"/>
    <w:basedOn w:val="DefaultParagraphFont"/>
    <w:link w:val="Heading1"/>
    <w:uiPriority w:val="9"/>
    <w:rsid w:val="006D2714"/>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1E5D0D"/>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1E5D0D"/>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56474D"/>
    <w:rPr>
      <w:rFonts w:asciiTheme="majorHAnsi" w:eastAsiaTheme="majorEastAsia" w:hAnsiTheme="majorHAnsi" w:cstheme="majorBidi"/>
      <w:i/>
      <w:iCs/>
      <w:color w:val="2E74B5" w:themeColor="accent1" w:themeShade="BF"/>
    </w:rPr>
  </w:style>
  <w:style w:type="character" w:styleId="Hyperlink">
    <w:name w:val="Hyperlink"/>
    <w:basedOn w:val="DefaultParagraphFont"/>
    <w:uiPriority w:val="99"/>
    <w:unhideWhenUsed/>
    <w:rsid w:val="0056474D"/>
    <w:rPr>
      <w:color w:val="0563C1" w:themeColor="hyperlink"/>
      <w:u w:val="single"/>
    </w:rPr>
  </w:style>
  <w:style w:type="character" w:styleId="FollowedHyperlink">
    <w:name w:val="FollowedHyperlink"/>
    <w:basedOn w:val="DefaultParagraphFont"/>
    <w:uiPriority w:val="99"/>
    <w:semiHidden/>
    <w:unhideWhenUsed/>
    <w:rsid w:val="0056474D"/>
    <w:rPr>
      <w:color w:val="954F72" w:themeColor="followedHyperlink"/>
      <w:u w:val="single"/>
    </w:rPr>
  </w:style>
  <w:style w:type="paragraph" w:customStyle="1" w:styleId="a">
    <w:name w:val="متن"/>
    <w:basedOn w:val="Normal"/>
    <w:link w:val="Char"/>
    <w:qFormat/>
    <w:rsid w:val="0045045E"/>
    <w:pPr>
      <w:spacing w:after="0" w:line="216" w:lineRule="auto"/>
      <w:ind w:firstLine="284"/>
      <w:jc w:val="both"/>
    </w:pPr>
    <w:rPr>
      <w:rFonts w:ascii="Times New Roman" w:eastAsia="Calibri" w:hAnsi="Times New Roman" w:cs="B Zar"/>
      <w:sz w:val="24"/>
      <w:szCs w:val="26"/>
      <w:lang w:bidi="ar-SA"/>
    </w:rPr>
  </w:style>
  <w:style w:type="character" w:customStyle="1" w:styleId="Char">
    <w:name w:val="متن Char"/>
    <w:link w:val="a"/>
    <w:rsid w:val="0045045E"/>
    <w:rPr>
      <w:rFonts w:ascii="Times New Roman" w:eastAsia="Calibri" w:hAnsi="Times New Roman" w:cs="B Zar"/>
      <w:sz w:val="24"/>
      <w:szCs w:val="26"/>
      <w:lang w:bidi="ar-SA"/>
    </w:rPr>
  </w:style>
  <w:style w:type="paragraph" w:customStyle="1" w:styleId="a0">
    <w:name w:val="عنوان شکل و جدول"/>
    <w:basedOn w:val="Normal"/>
    <w:link w:val="Char0"/>
    <w:qFormat/>
    <w:rsid w:val="00F35769"/>
    <w:pPr>
      <w:tabs>
        <w:tab w:val="left" w:pos="8348"/>
      </w:tabs>
      <w:spacing w:before="240" w:after="240" w:line="240" w:lineRule="auto"/>
      <w:jc w:val="center"/>
    </w:pPr>
    <w:rPr>
      <w:rFonts w:ascii="Times New Roman" w:eastAsia="Calibri" w:hAnsi="Times New Roman" w:cs="B Lotus"/>
      <w:sz w:val="20"/>
    </w:rPr>
  </w:style>
  <w:style w:type="character" w:customStyle="1" w:styleId="Char0">
    <w:name w:val="عنوان شکل و جدول Char"/>
    <w:link w:val="a0"/>
    <w:rsid w:val="00F35769"/>
    <w:rPr>
      <w:rFonts w:ascii="Times New Roman" w:eastAsia="Calibri" w:hAnsi="Times New Roman" w:cs="B Lotus"/>
      <w:sz w:val="20"/>
    </w:rPr>
  </w:style>
  <w:style w:type="table" w:styleId="TableGrid">
    <w:name w:val="Table Grid"/>
    <w:basedOn w:val="TableNormal"/>
    <w:uiPriority w:val="59"/>
    <w:rsid w:val="00E36209"/>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1">
    <w:name w:val="متن جدول"/>
    <w:basedOn w:val="Normal"/>
    <w:link w:val="Char1"/>
    <w:qFormat/>
    <w:rsid w:val="00E36209"/>
    <w:pPr>
      <w:framePr w:hSpace="180" w:wrap="around" w:vAnchor="text" w:hAnchor="margin" w:xAlign="center" w:y="31"/>
      <w:spacing w:after="0" w:line="216" w:lineRule="auto"/>
      <w:ind w:left="-57" w:right="-57"/>
      <w:jc w:val="center"/>
    </w:pPr>
    <w:rPr>
      <w:rFonts w:ascii="Times New Roman" w:eastAsia="Calibri" w:hAnsi="Times New Roman" w:cs="B Lotus"/>
      <w:sz w:val="20"/>
    </w:rPr>
  </w:style>
  <w:style w:type="paragraph" w:customStyle="1" w:styleId="a2">
    <w:name w:val="عنوان ج"/>
    <w:basedOn w:val="Normal"/>
    <w:link w:val="Char2"/>
    <w:rsid w:val="00E36209"/>
    <w:pPr>
      <w:tabs>
        <w:tab w:val="left" w:pos="8348"/>
      </w:tabs>
      <w:spacing w:before="240" w:after="0" w:line="240" w:lineRule="auto"/>
      <w:jc w:val="center"/>
    </w:pPr>
    <w:rPr>
      <w:rFonts w:ascii="Times New Roman Bold" w:eastAsia="Calibri" w:hAnsi="Times New Roman Bold" w:cs="B Lotus"/>
      <w:b/>
      <w:bCs/>
      <w:sz w:val="20"/>
    </w:rPr>
  </w:style>
  <w:style w:type="character" w:customStyle="1" w:styleId="Char1">
    <w:name w:val="متن جدول Char"/>
    <w:link w:val="a1"/>
    <w:rsid w:val="00E36209"/>
    <w:rPr>
      <w:rFonts w:ascii="Times New Roman" w:eastAsia="Calibri" w:hAnsi="Times New Roman" w:cs="B Lotus"/>
      <w:sz w:val="20"/>
    </w:rPr>
  </w:style>
  <w:style w:type="character" w:customStyle="1" w:styleId="Char2">
    <w:name w:val="عنوان ج Char"/>
    <w:link w:val="a2"/>
    <w:rsid w:val="00E36209"/>
    <w:rPr>
      <w:rFonts w:ascii="Times New Roman Bold" w:eastAsia="Calibri" w:hAnsi="Times New Roman Bold" w:cs="B Lotus"/>
      <w:b/>
      <w:bCs/>
      <w:sz w:val="20"/>
    </w:rPr>
  </w:style>
  <w:style w:type="paragraph" w:customStyle="1" w:styleId="a3">
    <w:name w:val="تیتر"/>
    <w:basedOn w:val="Normal"/>
    <w:link w:val="Char3"/>
    <w:qFormat/>
    <w:rsid w:val="00F35769"/>
    <w:pPr>
      <w:spacing w:before="240" w:after="0" w:line="216" w:lineRule="auto"/>
      <w:jc w:val="both"/>
    </w:pPr>
    <w:rPr>
      <w:rFonts w:ascii="Times New Roman Bold" w:eastAsia="Calibri" w:hAnsi="Times New Roman Bold" w:cs="B Lotus"/>
      <w:b/>
      <w:bCs/>
      <w:sz w:val="26"/>
      <w:szCs w:val="28"/>
    </w:rPr>
  </w:style>
  <w:style w:type="paragraph" w:customStyle="1" w:styleId="a4">
    <w:name w:val="منابع"/>
    <w:basedOn w:val="Normal"/>
    <w:link w:val="Char4"/>
    <w:qFormat/>
    <w:rsid w:val="00302CD7"/>
    <w:pPr>
      <w:spacing w:after="0" w:line="216" w:lineRule="auto"/>
      <w:ind w:left="567" w:hanging="567"/>
      <w:jc w:val="both"/>
    </w:pPr>
    <w:rPr>
      <w:rFonts w:ascii="Times New Roman" w:eastAsia="Calibri" w:hAnsi="Times New Roman" w:cs="B Lotus"/>
      <w:szCs w:val="24"/>
    </w:rPr>
  </w:style>
  <w:style w:type="character" w:customStyle="1" w:styleId="Char3">
    <w:name w:val="تیتر Char"/>
    <w:link w:val="a3"/>
    <w:rsid w:val="00F35769"/>
    <w:rPr>
      <w:rFonts w:ascii="Times New Roman Bold" w:eastAsia="Calibri" w:hAnsi="Times New Roman Bold" w:cs="B Lotus"/>
      <w:b/>
      <w:bCs/>
      <w:sz w:val="26"/>
      <w:szCs w:val="28"/>
    </w:rPr>
  </w:style>
  <w:style w:type="character" w:customStyle="1" w:styleId="Char4">
    <w:name w:val="منابع Char"/>
    <w:link w:val="a4"/>
    <w:rsid w:val="00302CD7"/>
    <w:rPr>
      <w:rFonts w:ascii="Times New Roman" w:eastAsia="Calibri" w:hAnsi="Times New Roman" w:cs="B Lotus"/>
      <w:szCs w:val="24"/>
    </w:rPr>
  </w:style>
  <w:style w:type="paragraph" w:customStyle="1" w:styleId="a5">
    <w:name w:val="منابع ل"/>
    <w:basedOn w:val="a4"/>
    <w:link w:val="Char5"/>
    <w:qFormat/>
    <w:rsid w:val="00302CD7"/>
    <w:pPr>
      <w:bidi w:val="0"/>
    </w:pPr>
    <w:rPr>
      <w:rFonts w:cs="Times New Roman"/>
      <w:sz w:val="20"/>
      <w:szCs w:val="20"/>
    </w:rPr>
  </w:style>
  <w:style w:type="character" w:customStyle="1" w:styleId="Char5">
    <w:name w:val="منابع ل Char"/>
    <w:link w:val="a5"/>
    <w:rsid w:val="00302CD7"/>
    <w:rPr>
      <w:rFonts w:ascii="Times New Roman" w:eastAsia="Calibri" w:hAnsi="Times New Roman" w:cs="Times New Roman"/>
      <w:sz w:val="20"/>
      <w:szCs w:val="20"/>
    </w:rPr>
  </w:style>
  <w:style w:type="paragraph" w:styleId="BalloonText">
    <w:name w:val="Balloon Text"/>
    <w:basedOn w:val="Normal"/>
    <w:link w:val="BalloonTextChar"/>
    <w:uiPriority w:val="99"/>
    <w:semiHidden/>
    <w:unhideWhenUsed/>
    <w:rsid w:val="000E775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7753"/>
    <w:rPr>
      <w:rFonts w:ascii="Segoe UI" w:hAnsi="Segoe UI" w:cs="Segoe UI"/>
      <w:sz w:val="18"/>
      <w:szCs w:val="18"/>
    </w:rPr>
  </w:style>
  <w:style w:type="paragraph" w:customStyle="1" w:styleId="1">
    <w:name w:val="پارا 1"/>
    <w:basedOn w:val="a"/>
    <w:link w:val="1Char"/>
    <w:qFormat/>
    <w:rsid w:val="0045045E"/>
    <w:pPr>
      <w:ind w:firstLine="0"/>
    </w:pPr>
  </w:style>
  <w:style w:type="character" w:customStyle="1" w:styleId="1Char">
    <w:name w:val="پارا 1 Char"/>
    <w:basedOn w:val="Char"/>
    <w:link w:val="1"/>
    <w:rsid w:val="0045045E"/>
    <w:rPr>
      <w:rFonts w:ascii="Times New Roman" w:eastAsia="Calibri" w:hAnsi="Times New Roman" w:cs="B Zar"/>
      <w:sz w:val="24"/>
      <w:szCs w:val="26"/>
      <w:lang w:bidi="ar-SA"/>
    </w:rPr>
  </w:style>
  <w:style w:type="paragraph" w:customStyle="1" w:styleId="a6">
    <w:name w:val="چکیده"/>
    <w:basedOn w:val="ListParagraph"/>
    <w:link w:val="Char6"/>
    <w:qFormat/>
    <w:rsid w:val="00F35769"/>
    <w:pPr>
      <w:spacing w:after="240" w:line="216" w:lineRule="auto"/>
      <w:ind w:left="0"/>
      <w:jc w:val="both"/>
    </w:pPr>
    <w:rPr>
      <w:rFonts w:cs="B Zar"/>
      <w:b w:val="0"/>
      <w:bCs w:val="0"/>
      <w:sz w:val="22"/>
      <w:szCs w:val="22"/>
    </w:rPr>
  </w:style>
  <w:style w:type="paragraph" w:customStyle="1" w:styleId="a7">
    <w:name w:val="نویسنده"/>
    <w:basedOn w:val="Heading2"/>
    <w:link w:val="Char7"/>
    <w:qFormat/>
    <w:rsid w:val="00F35769"/>
    <w:pPr>
      <w:spacing w:line="216" w:lineRule="auto"/>
      <w:jc w:val="center"/>
    </w:pPr>
    <w:rPr>
      <w:rFonts w:cs="B Compset"/>
      <w:b/>
      <w:bCs/>
      <w:color w:val="auto"/>
      <w:sz w:val="24"/>
      <w:szCs w:val="24"/>
    </w:rPr>
  </w:style>
  <w:style w:type="character" w:customStyle="1" w:styleId="Char6">
    <w:name w:val="چکیده Char"/>
    <w:basedOn w:val="ListParagraphChar"/>
    <w:link w:val="a6"/>
    <w:rsid w:val="00F35769"/>
    <w:rPr>
      <w:rFonts w:cs="B Zar"/>
      <w:b w:val="0"/>
      <w:bCs w:val="0"/>
      <w:sz w:val="28"/>
      <w:szCs w:val="28"/>
    </w:rPr>
  </w:style>
  <w:style w:type="paragraph" w:customStyle="1" w:styleId="a8">
    <w:name w:val="عنوان"/>
    <w:basedOn w:val="Heading1"/>
    <w:link w:val="Char8"/>
    <w:qFormat/>
    <w:rsid w:val="00F35769"/>
    <w:pPr>
      <w:spacing w:after="240" w:line="216" w:lineRule="auto"/>
      <w:jc w:val="center"/>
    </w:pPr>
    <w:rPr>
      <w:rFonts w:ascii="Times" w:hAnsi="Times" w:cs="B Zar"/>
      <w:b/>
      <w:bCs/>
      <w:color w:val="auto"/>
      <w:sz w:val="28"/>
      <w:szCs w:val="30"/>
    </w:rPr>
  </w:style>
  <w:style w:type="character" w:customStyle="1" w:styleId="Char7">
    <w:name w:val="نویسنده Char"/>
    <w:basedOn w:val="Heading2Char"/>
    <w:link w:val="a7"/>
    <w:rsid w:val="00F35769"/>
    <w:rPr>
      <w:rFonts w:asciiTheme="majorHAnsi" w:eastAsiaTheme="majorEastAsia" w:hAnsiTheme="majorHAnsi" w:cs="B Compset"/>
      <w:b/>
      <w:bCs/>
      <w:color w:val="2E74B5" w:themeColor="accent1" w:themeShade="BF"/>
      <w:sz w:val="24"/>
      <w:szCs w:val="24"/>
    </w:rPr>
  </w:style>
  <w:style w:type="character" w:customStyle="1" w:styleId="Char8">
    <w:name w:val="عنوان Char"/>
    <w:basedOn w:val="Heading1Char"/>
    <w:link w:val="a8"/>
    <w:rsid w:val="00F35769"/>
    <w:rPr>
      <w:rFonts w:ascii="Times" w:eastAsiaTheme="majorEastAsia" w:hAnsi="Times" w:cs="B Zar"/>
      <w:b/>
      <w:bCs/>
      <w:color w:val="2E74B5" w:themeColor="accent1" w:themeShade="BF"/>
      <w:sz w:val="28"/>
      <w:szCs w:val="30"/>
    </w:rPr>
  </w:style>
  <w:style w:type="paragraph" w:customStyle="1" w:styleId="a9">
    <w:name w:val="مشخصات نویسنده"/>
    <w:basedOn w:val="Normal"/>
    <w:link w:val="Char9"/>
    <w:qFormat/>
    <w:rsid w:val="0045045E"/>
    <w:pPr>
      <w:spacing w:after="0"/>
      <w:jc w:val="center"/>
    </w:pPr>
    <w:rPr>
      <w:rFonts w:cs="B Compset"/>
      <w:sz w:val="20"/>
      <w:szCs w:val="20"/>
    </w:rPr>
  </w:style>
  <w:style w:type="character" w:customStyle="1" w:styleId="Char9">
    <w:name w:val="مشخصات نویسنده Char"/>
    <w:basedOn w:val="DefaultParagraphFont"/>
    <w:link w:val="a9"/>
    <w:rsid w:val="0045045E"/>
    <w:rPr>
      <w:rFonts w:cs="B Compset"/>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491437">
      <w:bodyDiv w:val="1"/>
      <w:marLeft w:val="0"/>
      <w:marRight w:val="0"/>
      <w:marTop w:val="0"/>
      <w:marBottom w:val="0"/>
      <w:divBdr>
        <w:top w:val="none" w:sz="0" w:space="0" w:color="auto"/>
        <w:left w:val="none" w:sz="0" w:space="0" w:color="auto"/>
        <w:bottom w:val="none" w:sz="0" w:space="0" w:color="auto"/>
        <w:right w:val="none" w:sz="0" w:space="0" w:color="auto"/>
      </w:divBdr>
      <w:divsChild>
        <w:div w:id="317616845">
          <w:marLeft w:val="0"/>
          <w:marRight w:val="0"/>
          <w:marTop w:val="0"/>
          <w:marBottom w:val="0"/>
          <w:divBdr>
            <w:top w:val="none" w:sz="0" w:space="0" w:color="auto"/>
            <w:left w:val="none" w:sz="0" w:space="0" w:color="auto"/>
            <w:bottom w:val="none" w:sz="0" w:space="0" w:color="auto"/>
            <w:right w:val="none" w:sz="0" w:space="0" w:color="auto"/>
          </w:divBdr>
          <w:divsChild>
            <w:div w:id="1375815365">
              <w:marLeft w:val="0"/>
              <w:marRight w:val="0"/>
              <w:marTop w:val="0"/>
              <w:marBottom w:val="0"/>
              <w:divBdr>
                <w:top w:val="none" w:sz="0" w:space="0" w:color="auto"/>
                <w:left w:val="none" w:sz="0" w:space="0" w:color="auto"/>
                <w:bottom w:val="none" w:sz="0" w:space="0" w:color="auto"/>
                <w:right w:val="none" w:sz="0" w:space="0" w:color="auto"/>
              </w:divBdr>
              <w:divsChild>
                <w:div w:id="247739961">
                  <w:marLeft w:val="0"/>
                  <w:marRight w:val="0"/>
                  <w:marTop w:val="450"/>
                  <w:marBottom w:val="450"/>
                  <w:divBdr>
                    <w:top w:val="none" w:sz="0" w:space="0" w:color="auto"/>
                    <w:left w:val="none" w:sz="0" w:space="0" w:color="auto"/>
                    <w:bottom w:val="none" w:sz="0" w:space="0" w:color="auto"/>
                    <w:right w:val="none" w:sz="0" w:space="0" w:color="auto"/>
                  </w:divBdr>
                  <w:divsChild>
                    <w:div w:id="1015155883">
                      <w:marLeft w:val="0"/>
                      <w:marRight w:val="0"/>
                      <w:marTop w:val="0"/>
                      <w:marBottom w:val="0"/>
                      <w:divBdr>
                        <w:top w:val="single" w:sz="24" w:space="0" w:color="333333"/>
                        <w:left w:val="none" w:sz="0" w:space="0" w:color="auto"/>
                        <w:bottom w:val="none" w:sz="0" w:space="0" w:color="auto"/>
                        <w:right w:val="none" w:sz="0" w:space="0" w:color="auto"/>
                      </w:divBdr>
                      <w:divsChild>
                        <w:div w:id="35639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4069960">
      <w:bodyDiv w:val="1"/>
      <w:marLeft w:val="0"/>
      <w:marRight w:val="0"/>
      <w:marTop w:val="0"/>
      <w:marBottom w:val="0"/>
      <w:divBdr>
        <w:top w:val="none" w:sz="0" w:space="0" w:color="auto"/>
        <w:left w:val="none" w:sz="0" w:space="0" w:color="auto"/>
        <w:bottom w:val="none" w:sz="0" w:space="0" w:color="auto"/>
        <w:right w:val="none" w:sz="0" w:space="0" w:color="auto"/>
      </w:divBdr>
    </w:div>
    <w:div w:id="317459564">
      <w:bodyDiv w:val="1"/>
      <w:marLeft w:val="0"/>
      <w:marRight w:val="0"/>
      <w:marTop w:val="0"/>
      <w:marBottom w:val="0"/>
      <w:divBdr>
        <w:top w:val="none" w:sz="0" w:space="0" w:color="auto"/>
        <w:left w:val="none" w:sz="0" w:space="0" w:color="auto"/>
        <w:bottom w:val="none" w:sz="0" w:space="0" w:color="auto"/>
        <w:right w:val="none" w:sz="0" w:space="0" w:color="auto"/>
      </w:divBdr>
    </w:div>
    <w:div w:id="582880898">
      <w:bodyDiv w:val="1"/>
      <w:marLeft w:val="0"/>
      <w:marRight w:val="0"/>
      <w:marTop w:val="0"/>
      <w:marBottom w:val="0"/>
      <w:divBdr>
        <w:top w:val="none" w:sz="0" w:space="0" w:color="auto"/>
        <w:left w:val="none" w:sz="0" w:space="0" w:color="auto"/>
        <w:bottom w:val="none" w:sz="0" w:space="0" w:color="auto"/>
        <w:right w:val="none" w:sz="0" w:space="0" w:color="auto"/>
      </w:divBdr>
    </w:div>
    <w:div w:id="1757945469">
      <w:bodyDiv w:val="1"/>
      <w:marLeft w:val="0"/>
      <w:marRight w:val="0"/>
      <w:marTop w:val="0"/>
      <w:marBottom w:val="0"/>
      <w:divBdr>
        <w:top w:val="none" w:sz="0" w:space="0" w:color="auto"/>
        <w:left w:val="none" w:sz="0" w:space="0" w:color="auto"/>
        <w:bottom w:val="none" w:sz="0" w:space="0" w:color="auto"/>
        <w:right w:val="none" w:sz="0" w:space="0" w:color="auto"/>
      </w:divBdr>
    </w:div>
    <w:div w:id="1770269969">
      <w:bodyDiv w:val="1"/>
      <w:marLeft w:val="0"/>
      <w:marRight w:val="0"/>
      <w:marTop w:val="0"/>
      <w:marBottom w:val="0"/>
      <w:divBdr>
        <w:top w:val="none" w:sz="0" w:space="0" w:color="auto"/>
        <w:left w:val="none" w:sz="0" w:space="0" w:color="auto"/>
        <w:bottom w:val="none" w:sz="0" w:space="0" w:color="auto"/>
        <w:right w:val="none" w:sz="0" w:space="0" w:color="auto"/>
      </w:divBdr>
    </w:div>
    <w:div w:id="1968663128">
      <w:bodyDiv w:val="1"/>
      <w:marLeft w:val="0"/>
      <w:marRight w:val="0"/>
      <w:marTop w:val="0"/>
      <w:marBottom w:val="0"/>
      <w:divBdr>
        <w:top w:val="none" w:sz="0" w:space="0" w:color="auto"/>
        <w:left w:val="none" w:sz="0" w:space="0" w:color="auto"/>
        <w:bottom w:val="none" w:sz="0" w:space="0" w:color="auto"/>
        <w:right w:val="none" w:sz="0" w:space="0" w:color="auto"/>
      </w:divBdr>
    </w:div>
    <w:div w:id="2112240433">
      <w:bodyDiv w:val="1"/>
      <w:marLeft w:val="0"/>
      <w:marRight w:val="0"/>
      <w:marTop w:val="0"/>
      <w:marBottom w:val="0"/>
      <w:divBdr>
        <w:top w:val="none" w:sz="0" w:space="0" w:color="auto"/>
        <w:left w:val="none" w:sz="0" w:space="0" w:color="auto"/>
        <w:bottom w:val="none" w:sz="0" w:space="0" w:color="auto"/>
        <w:right w:val="none" w:sz="0" w:space="0" w:color="auto"/>
      </w:divBdr>
    </w:div>
    <w:div w:id="2141342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orcid.org/0000-0002-6639-9339" TargetMode="External"/><Relationship Id="rId13" Type="http://schemas.openxmlformats.org/officeDocument/2006/relationships/footer" Target="footer2.xml"/><Relationship Id="rId18" Type="http://schemas.openxmlformats.org/officeDocument/2006/relationships/hyperlink" Target="http://orcid.org/0000-0002-7105-1644"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orcid.org/0000-0002-7105-1644" TargetMode="External"/><Relationship Id="rId2" Type="http://schemas.openxmlformats.org/officeDocument/2006/relationships/numbering" Target="numbering.xml"/><Relationship Id="rId16" Type="http://schemas.openxmlformats.org/officeDocument/2006/relationships/hyperlink" Target="http://orcid.org/0000-0002-6639-9339"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notes.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03CE05-E09A-40BF-B83D-9277295C6A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5</Pages>
  <Words>688</Words>
  <Characters>3923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jabari</dc:creator>
  <cp:lastModifiedBy>s</cp:lastModifiedBy>
  <cp:revision>3</cp:revision>
  <cp:lastPrinted>2020-10-14T02:33:00Z</cp:lastPrinted>
  <dcterms:created xsi:type="dcterms:W3CDTF">2026-04-06T07:21:00Z</dcterms:created>
  <dcterms:modified xsi:type="dcterms:W3CDTF">2026-04-12T11:12:00Z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4608d24f-f150-4eab-ba13-547cd8bbfec2</vt:lpwstr>
  </property>
</Properties>
</file>